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D1" w:rsidRDefault="00C668D1" w:rsidP="00B170F2">
      <w:pPr>
        <w:pStyle w:val="Body1"/>
        <w:jc w:val="center"/>
        <w:rPr>
          <w:rFonts w:ascii="Arial" w:hAnsi="Arial" w:cs="Arial"/>
          <w:b/>
          <w:color w:val="auto"/>
          <w:szCs w:val="24"/>
        </w:rPr>
      </w:pPr>
    </w:p>
    <w:p w:rsidR="00C668D1" w:rsidRDefault="00C668D1" w:rsidP="00B170F2">
      <w:pPr>
        <w:pStyle w:val="Body1"/>
        <w:jc w:val="center"/>
        <w:rPr>
          <w:rFonts w:ascii="Arial" w:hAnsi="Arial" w:cs="Arial"/>
          <w:b/>
          <w:color w:val="auto"/>
          <w:szCs w:val="24"/>
        </w:rPr>
      </w:pPr>
    </w:p>
    <w:p w:rsidR="00B170F2" w:rsidRDefault="000C58EC" w:rsidP="00B170F2">
      <w:pPr>
        <w:pStyle w:val="Body1"/>
        <w:jc w:val="center"/>
        <w:rPr>
          <w:rFonts w:ascii="Arial" w:hAnsi="Arial" w:cs="Arial"/>
          <w:b/>
          <w:color w:val="auto"/>
          <w:szCs w:val="24"/>
        </w:rPr>
      </w:pPr>
      <w:r w:rsidRPr="000C58EC">
        <w:rPr>
          <w:rFonts w:ascii="Arial" w:hAnsi="Arial" w:cs="Arial"/>
          <w:b/>
          <w:color w:val="auto"/>
          <w:szCs w:val="24"/>
        </w:rPr>
        <w:t>EL 20 DE DICIEMBRE FINALIZA EL PERIODO PARA CONTRATAR LOS MÓDULOS 1 Y 2 DEL SEGURO PARA EXPLOTACIONES DE CULTIVOS HERBÁCEOS EXTENSIVOS</w:t>
      </w:r>
    </w:p>
    <w:p w:rsidR="008626BB" w:rsidRDefault="008626BB" w:rsidP="008626BB">
      <w:pPr>
        <w:pStyle w:val="Body1"/>
        <w:rPr>
          <w:rFonts w:ascii="Arial" w:hAnsi="Arial" w:cs="Arial"/>
          <w:b/>
          <w:color w:val="auto"/>
          <w:szCs w:val="24"/>
        </w:rPr>
      </w:pPr>
    </w:p>
    <w:p w:rsidR="008626BB" w:rsidRDefault="00F44308" w:rsidP="008626BB">
      <w:pPr>
        <w:pStyle w:val="Body1"/>
        <w:numPr>
          <w:ilvl w:val="0"/>
          <w:numId w:val="5"/>
        </w:numPr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Agroseguro ya ha pagado a los agricultores el total de la siniestralidad correspondiente a este seguro en 2014, que asciende a más de 88,5 millones de euros.</w:t>
      </w:r>
    </w:p>
    <w:p w:rsidR="008626BB" w:rsidRPr="000C58EC" w:rsidRDefault="008626BB" w:rsidP="00B170F2">
      <w:pPr>
        <w:pStyle w:val="Body1"/>
        <w:jc w:val="center"/>
        <w:rPr>
          <w:rFonts w:ascii="Arial" w:hAnsi="Arial" w:cs="Arial"/>
          <w:b/>
          <w:color w:val="auto"/>
          <w:szCs w:val="24"/>
        </w:rPr>
      </w:pPr>
    </w:p>
    <w:p w:rsidR="005422F4" w:rsidRPr="007A4CE3" w:rsidRDefault="005422F4" w:rsidP="00B170F2">
      <w:pPr>
        <w:tabs>
          <w:tab w:val="left" w:pos="3119"/>
        </w:tabs>
        <w:jc w:val="both"/>
        <w:rPr>
          <w:rFonts w:ascii="Arial" w:hAnsi="Arial" w:cs="Arial"/>
          <w:b/>
          <w:sz w:val="16"/>
          <w:szCs w:val="16"/>
        </w:rPr>
      </w:pPr>
    </w:p>
    <w:p w:rsidR="00834BCA" w:rsidRDefault="0049004E" w:rsidP="00B170F2">
      <w:pPr>
        <w:tabs>
          <w:tab w:val="left" w:pos="3119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Madrid,</w:t>
      </w:r>
      <w:r w:rsidR="00BC1A59">
        <w:rPr>
          <w:rFonts w:ascii="Arial" w:hAnsi="Arial" w:cs="Arial"/>
          <w:b/>
          <w:sz w:val="16"/>
          <w:szCs w:val="16"/>
        </w:rPr>
        <w:t xml:space="preserve"> </w:t>
      </w:r>
      <w:r w:rsidR="00193953">
        <w:rPr>
          <w:rFonts w:ascii="Arial" w:hAnsi="Arial" w:cs="Arial"/>
          <w:b/>
          <w:sz w:val="16"/>
          <w:szCs w:val="16"/>
        </w:rPr>
        <w:t>16</w:t>
      </w:r>
      <w:r w:rsidR="00116EDA">
        <w:rPr>
          <w:rFonts w:ascii="Arial" w:hAnsi="Arial" w:cs="Arial"/>
          <w:b/>
          <w:sz w:val="16"/>
          <w:szCs w:val="16"/>
        </w:rPr>
        <w:t xml:space="preserve"> </w:t>
      </w:r>
      <w:r w:rsidR="008977F1">
        <w:rPr>
          <w:rFonts w:ascii="Arial" w:hAnsi="Arial" w:cs="Arial"/>
          <w:b/>
          <w:sz w:val="16"/>
          <w:szCs w:val="16"/>
        </w:rPr>
        <w:t>de</w:t>
      </w:r>
      <w:r w:rsidR="0080013B">
        <w:rPr>
          <w:rFonts w:ascii="Arial" w:hAnsi="Arial" w:cs="Arial"/>
          <w:b/>
          <w:sz w:val="16"/>
          <w:szCs w:val="16"/>
        </w:rPr>
        <w:t xml:space="preserve"> </w:t>
      </w:r>
      <w:r w:rsidR="00193953">
        <w:rPr>
          <w:rFonts w:ascii="Arial" w:hAnsi="Arial" w:cs="Arial"/>
          <w:b/>
          <w:sz w:val="16"/>
          <w:szCs w:val="16"/>
        </w:rPr>
        <w:t>diciembre</w:t>
      </w:r>
      <w:r w:rsidR="008977F1">
        <w:rPr>
          <w:rFonts w:ascii="Arial" w:hAnsi="Arial" w:cs="Arial"/>
          <w:b/>
          <w:sz w:val="16"/>
          <w:szCs w:val="16"/>
        </w:rPr>
        <w:t xml:space="preserve"> de </w:t>
      </w:r>
      <w:r w:rsidR="007571A3">
        <w:rPr>
          <w:rFonts w:ascii="Arial" w:hAnsi="Arial" w:cs="Arial"/>
          <w:b/>
          <w:sz w:val="16"/>
          <w:szCs w:val="16"/>
        </w:rPr>
        <w:t>201</w:t>
      </w:r>
      <w:r w:rsidR="003D118D">
        <w:rPr>
          <w:rFonts w:ascii="Arial" w:hAnsi="Arial" w:cs="Arial"/>
          <w:b/>
          <w:sz w:val="16"/>
          <w:szCs w:val="16"/>
        </w:rPr>
        <w:t>4</w:t>
      </w:r>
    </w:p>
    <w:p w:rsidR="0049004E" w:rsidRDefault="0049004E" w:rsidP="00B170F2">
      <w:pPr>
        <w:tabs>
          <w:tab w:val="left" w:pos="3119"/>
        </w:tabs>
        <w:jc w:val="both"/>
        <w:rPr>
          <w:rFonts w:ascii="Arial" w:hAnsi="Arial" w:cs="Arial"/>
          <w:b/>
          <w:sz w:val="16"/>
          <w:szCs w:val="16"/>
        </w:rPr>
      </w:pPr>
    </w:p>
    <w:p w:rsidR="007A4CE3" w:rsidRDefault="00FB5E58" w:rsidP="00175ADF">
      <w:pPr>
        <w:jc w:val="both"/>
        <w:rPr>
          <w:rFonts w:ascii="Arial" w:hAnsi="Arial" w:cs="Arial"/>
        </w:rPr>
      </w:pPr>
      <w:bookmarkStart w:id="0" w:name="_GoBack"/>
      <w:r w:rsidRPr="00253536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agricultores </w:t>
      </w:r>
      <w:r w:rsidR="00193953">
        <w:rPr>
          <w:rFonts w:ascii="Arial" w:hAnsi="Arial" w:cs="Arial"/>
        </w:rPr>
        <w:t>con explotaciones de cereales de invierno, leguminosas y oleaginosas en secano pueden asegurar su cosecha a través de los módulos 1 y 2 hasta el próximo sábado 20 d</w:t>
      </w:r>
      <w:r w:rsidR="00FF3972">
        <w:rPr>
          <w:rFonts w:ascii="Arial" w:hAnsi="Arial" w:cs="Arial"/>
        </w:rPr>
        <w:t>e diciembre (e</w:t>
      </w:r>
      <w:r w:rsidR="00193953">
        <w:rPr>
          <w:rFonts w:ascii="Arial" w:hAnsi="Arial" w:cs="Arial"/>
        </w:rPr>
        <w:t>xcepto para aquellas explotaciones ubicadas en Andalucía, Islas Canarias y Murcia, cuyo periodo de contratación ya finalizó</w:t>
      </w:r>
      <w:r w:rsidR="00FF3972">
        <w:rPr>
          <w:rFonts w:ascii="Arial" w:hAnsi="Arial" w:cs="Arial"/>
        </w:rPr>
        <w:t>)</w:t>
      </w:r>
      <w:r w:rsidR="00193953">
        <w:rPr>
          <w:rFonts w:ascii="Arial" w:hAnsi="Arial" w:cs="Arial"/>
        </w:rPr>
        <w:t xml:space="preserve">. </w:t>
      </w:r>
    </w:p>
    <w:p w:rsidR="00193953" w:rsidRPr="00175ADF" w:rsidRDefault="00193953" w:rsidP="00175ADF">
      <w:pPr>
        <w:jc w:val="both"/>
        <w:rPr>
          <w:rFonts w:ascii="Arial" w:hAnsi="Arial" w:cs="Arial"/>
        </w:rPr>
      </w:pPr>
    </w:p>
    <w:p w:rsidR="00175ADF" w:rsidRPr="00175ADF" w:rsidRDefault="00175ADF" w:rsidP="00175ADF">
      <w:pPr>
        <w:jc w:val="both"/>
        <w:rPr>
          <w:rFonts w:ascii="Arial" w:hAnsi="Arial" w:cs="Arial"/>
        </w:rPr>
      </w:pPr>
      <w:r w:rsidRPr="00175ADF">
        <w:rPr>
          <w:rFonts w:ascii="Arial" w:hAnsi="Arial" w:cs="Arial"/>
        </w:rPr>
        <w:t xml:space="preserve">Durante la cosecha anterior, se </w:t>
      </w:r>
      <w:r w:rsidR="00834871" w:rsidRPr="00C70DE7">
        <w:rPr>
          <w:rFonts w:ascii="Arial" w:hAnsi="Arial" w:cs="Arial"/>
        </w:rPr>
        <w:t xml:space="preserve">suscribieron </w:t>
      </w:r>
      <w:r w:rsidRPr="00C70DE7">
        <w:rPr>
          <w:rFonts w:ascii="Arial" w:hAnsi="Arial" w:cs="Arial"/>
        </w:rPr>
        <w:t>cer</w:t>
      </w:r>
      <w:r w:rsidRPr="00175ADF">
        <w:rPr>
          <w:rFonts w:ascii="Arial" w:hAnsi="Arial" w:cs="Arial"/>
        </w:rPr>
        <w:t>ca de 1</w:t>
      </w:r>
      <w:r w:rsidR="00875866">
        <w:rPr>
          <w:rFonts w:ascii="Arial" w:hAnsi="Arial" w:cs="Arial"/>
        </w:rPr>
        <w:t>25</w:t>
      </w:r>
      <w:r w:rsidRPr="00175ADF">
        <w:rPr>
          <w:rFonts w:ascii="Arial" w:hAnsi="Arial" w:cs="Arial"/>
        </w:rPr>
        <w:t>.</w:t>
      </w:r>
      <w:r w:rsidR="00875866">
        <w:rPr>
          <w:rFonts w:ascii="Arial" w:hAnsi="Arial" w:cs="Arial"/>
        </w:rPr>
        <w:t>000</w:t>
      </w:r>
      <w:r w:rsidRPr="00175ADF">
        <w:rPr>
          <w:rFonts w:ascii="Arial" w:hAnsi="Arial" w:cs="Arial"/>
        </w:rPr>
        <w:t xml:space="preserve"> pólizas que dieron cobertura a una superficie de </w:t>
      </w:r>
      <w:r w:rsidR="00875866">
        <w:rPr>
          <w:rFonts w:ascii="Arial" w:hAnsi="Arial" w:cs="Arial"/>
        </w:rPr>
        <w:t xml:space="preserve">cas 4,9 </w:t>
      </w:r>
      <w:r w:rsidRPr="00175ADF">
        <w:rPr>
          <w:rFonts w:ascii="Arial" w:hAnsi="Arial" w:cs="Arial"/>
        </w:rPr>
        <w:t xml:space="preserve">millones de hectáreas de cultivos herbáceos y a una producción de </w:t>
      </w:r>
      <w:r w:rsidR="00875866">
        <w:rPr>
          <w:rFonts w:ascii="Arial" w:hAnsi="Arial" w:cs="Arial"/>
        </w:rPr>
        <w:t>más</w:t>
      </w:r>
      <w:r w:rsidRPr="00175ADF">
        <w:rPr>
          <w:rFonts w:ascii="Arial" w:hAnsi="Arial" w:cs="Arial"/>
        </w:rPr>
        <w:t xml:space="preserve"> 1</w:t>
      </w:r>
      <w:r w:rsidR="00875866">
        <w:rPr>
          <w:rFonts w:ascii="Arial" w:hAnsi="Arial" w:cs="Arial"/>
        </w:rPr>
        <w:t>5</w:t>
      </w:r>
      <w:r w:rsidRPr="00175ADF">
        <w:rPr>
          <w:rFonts w:ascii="Arial" w:hAnsi="Arial" w:cs="Arial"/>
        </w:rPr>
        <w:t>,</w:t>
      </w:r>
      <w:r w:rsidR="00875866">
        <w:rPr>
          <w:rFonts w:ascii="Arial" w:hAnsi="Arial" w:cs="Arial"/>
        </w:rPr>
        <w:t>2</w:t>
      </w:r>
      <w:r w:rsidRPr="00175ADF">
        <w:rPr>
          <w:rFonts w:ascii="Arial" w:hAnsi="Arial" w:cs="Arial"/>
        </w:rPr>
        <w:t xml:space="preserve"> millones de toneladas. </w:t>
      </w:r>
    </w:p>
    <w:p w:rsidR="00175ADF" w:rsidRPr="00175ADF" w:rsidRDefault="00175ADF" w:rsidP="00175ADF">
      <w:pPr>
        <w:jc w:val="both"/>
        <w:rPr>
          <w:rFonts w:ascii="Arial" w:hAnsi="Arial" w:cs="Arial"/>
        </w:rPr>
      </w:pPr>
    </w:p>
    <w:p w:rsidR="00175ADF" w:rsidRDefault="00175ADF" w:rsidP="00175ADF">
      <w:pPr>
        <w:pStyle w:val="Body1"/>
        <w:tabs>
          <w:tab w:val="left" w:pos="3119"/>
          <w:tab w:val="left" w:pos="5291"/>
        </w:tabs>
        <w:jc w:val="both"/>
        <w:rPr>
          <w:rFonts w:ascii="Arial" w:hAnsi="Arial" w:cs="Arial"/>
          <w:lang w:val="es-ES_tradnl"/>
        </w:rPr>
      </w:pPr>
      <w:r w:rsidRPr="00175ADF">
        <w:rPr>
          <w:rFonts w:ascii="Arial" w:hAnsi="Arial" w:cs="Arial"/>
          <w:lang w:val="es-ES_tradnl"/>
        </w:rPr>
        <w:t>La comunidad autónoma que más producción asegur</w:t>
      </w:r>
      <w:r w:rsidR="006054FC">
        <w:rPr>
          <w:rFonts w:ascii="Arial" w:hAnsi="Arial" w:cs="Arial"/>
          <w:lang w:val="es-ES_tradnl"/>
        </w:rPr>
        <w:t>ó</w:t>
      </w:r>
      <w:r w:rsidRPr="00175ADF">
        <w:rPr>
          <w:rFonts w:ascii="Arial" w:hAnsi="Arial" w:cs="Arial"/>
          <w:lang w:val="es-ES_tradnl"/>
        </w:rPr>
        <w:t xml:space="preserve"> </w:t>
      </w:r>
      <w:r w:rsidR="006054FC">
        <w:rPr>
          <w:rFonts w:ascii="Arial" w:hAnsi="Arial" w:cs="Arial"/>
          <w:lang w:val="es-ES_tradnl"/>
        </w:rPr>
        <w:t>fue</w:t>
      </w:r>
      <w:r w:rsidRPr="00175ADF">
        <w:rPr>
          <w:rFonts w:ascii="Arial" w:hAnsi="Arial" w:cs="Arial"/>
          <w:lang w:val="es-ES_tradnl"/>
        </w:rPr>
        <w:t xml:space="preserve"> la de Castilla y León, con </w:t>
      </w:r>
      <w:r w:rsidR="00875866">
        <w:rPr>
          <w:rFonts w:ascii="Arial" w:hAnsi="Arial" w:cs="Arial"/>
          <w:lang w:val="es-ES_tradnl"/>
        </w:rPr>
        <w:t xml:space="preserve">más de 5 </w:t>
      </w:r>
      <w:r w:rsidRPr="00175ADF">
        <w:rPr>
          <w:rFonts w:ascii="Arial" w:hAnsi="Arial" w:cs="Arial"/>
          <w:lang w:val="es-ES_tradnl"/>
        </w:rPr>
        <w:t>millones de toneladas, seguida de</w:t>
      </w:r>
      <w:r>
        <w:rPr>
          <w:rFonts w:ascii="Arial" w:hAnsi="Arial" w:cs="Arial"/>
          <w:lang w:val="es-ES_tradnl"/>
        </w:rPr>
        <w:t xml:space="preserve"> Aragón, Castilla-La Mancha, </w:t>
      </w:r>
      <w:r w:rsidR="00875866">
        <w:rPr>
          <w:rFonts w:ascii="Arial" w:hAnsi="Arial" w:cs="Arial"/>
          <w:lang w:val="es-ES_tradnl"/>
        </w:rPr>
        <w:t xml:space="preserve">Andalucía y </w:t>
      </w:r>
      <w:r w:rsidR="006A08C9">
        <w:rPr>
          <w:rFonts w:ascii="Arial" w:hAnsi="Arial" w:cs="Arial"/>
          <w:lang w:val="es-ES_tradnl"/>
        </w:rPr>
        <w:t>Cataluña</w:t>
      </w:r>
      <w:r>
        <w:rPr>
          <w:rFonts w:ascii="Arial" w:hAnsi="Arial" w:cs="Arial"/>
          <w:lang w:val="es-ES_tradnl"/>
        </w:rPr>
        <w:t xml:space="preserve">. Entre las cinco </w:t>
      </w:r>
      <w:r w:rsidR="00873427">
        <w:rPr>
          <w:rFonts w:ascii="Arial" w:hAnsi="Arial" w:cs="Arial"/>
          <w:lang w:val="es-ES_tradnl"/>
        </w:rPr>
        <w:t>acumula</w:t>
      </w:r>
      <w:r>
        <w:rPr>
          <w:rFonts w:ascii="Arial" w:hAnsi="Arial" w:cs="Arial"/>
          <w:lang w:val="es-ES_tradnl"/>
        </w:rPr>
        <w:t>ron más del 8</w:t>
      </w:r>
      <w:r w:rsidR="006A08C9">
        <w:rPr>
          <w:rFonts w:ascii="Arial" w:hAnsi="Arial" w:cs="Arial"/>
          <w:lang w:val="es-ES_tradnl"/>
        </w:rPr>
        <w:t>5</w:t>
      </w:r>
      <w:r>
        <w:rPr>
          <w:rFonts w:ascii="Arial" w:hAnsi="Arial" w:cs="Arial"/>
          <w:lang w:val="es-ES_tradnl"/>
        </w:rPr>
        <w:t>% de la producción total asegurada</w:t>
      </w:r>
      <w:r w:rsidR="00873427">
        <w:rPr>
          <w:rFonts w:ascii="Arial" w:hAnsi="Arial" w:cs="Arial"/>
          <w:lang w:val="es-ES_tradnl"/>
        </w:rPr>
        <w:t>.</w:t>
      </w:r>
    </w:p>
    <w:p w:rsidR="00175ADF" w:rsidRDefault="00175ADF" w:rsidP="00175ADF">
      <w:pPr>
        <w:pStyle w:val="Body1"/>
        <w:tabs>
          <w:tab w:val="left" w:pos="3119"/>
          <w:tab w:val="left" w:pos="5291"/>
        </w:tabs>
        <w:jc w:val="both"/>
        <w:rPr>
          <w:rFonts w:ascii="Arial" w:hAnsi="Arial" w:cs="Arial"/>
          <w:lang w:val="es-ES_tradnl"/>
        </w:rPr>
      </w:pPr>
    </w:p>
    <w:p w:rsidR="00646138" w:rsidRDefault="006A08C9" w:rsidP="006A08C9">
      <w:pPr>
        <w:pStyle w:val="Textoindependiente"/>
        <w:spacing w:line="240" w:lineRule="auto"/>
        <w:ind w:right="-136"/>
        <w:rPr>
          <w:rFonts w:eastAsia="Arial Unicode MS"/>
          <w:color w:val="000000"/>
          <w:szCs w:val="24"/>
          <w:u w:color="000000"/>
        </w:rPr>
      </w:pPr>
      <w:r>
        <w:rPr>
          <w:rFonts w:eastAsia="Arial Unicode MS"/>
          <w:color w:val="000000"/>
          <w:szCs w:val="24"/>
          <w:u w:color="000000"/>
        </w:rPr>
        <w:t>Durante los últimos años, la meteorología que venimos expe</w:t>
      </w:r>
      <w:r w:rsidR="00873427">
        <w:rPr>
          <w:rFonts w:eastAsia="Arial Unicode MS"/>
          <w:color w:val="000000"/>
          <w:szCs w:val="24"/>
          <w:u w:color="000000"/>
        </w:rPr>
        <w:t>rimentando se caracteriza por l</w:t>
      </w:r>
      <w:r>
        <w:rPr>
          <w:rFonts w:eastAsia="Arial Unicode MS"/>
          <w:color w:val="000000"/>
          <w:szCs w:val="24"/>
          <w:u w:color="000000"/>
        </w:rPr>
        <w:t xml:space="preserve">a gran variabilidad e intensidad con la que se producen los distintos fenómenos meteorológicos. Así, por ejemplo, </w:t>
      </w:r>
      <w:r w:rsidR="00646138">
        <w:rPr>
          <w:rFonts w:eastAsia="Arial Unicode MS"/>
          <w:color w:val="000000"/>
          <w:szCs w:val="24"/>
          <w:u w:color="000000"/>
        </w:rPr>
        <w:t>en 2012 se produjo una situación de sequía que afectó al 80% de las hectáreas de cultivos herbáceos</w:t>
      </w:r>
      <w:r w:rsidR="009D4BC6">
        <w:rPr>
          <w:rFonts w:eastAsia="Arial Unicode MS"/>
          <w:color w:val="000000"/>
          <w:szCs w:val="24"/>
          <w:u w:color="000000"/>
        </w:rPr>
        <w:t xml:space="preserve"> aseguradas</w:t>
      </w:r>
      <w:r w:rsidR="00873427">
        <w:rPr>
          <w:rFonts w:eastAsia="Arial Unicode MS"/>
          <w:color w:val="000000"/>
          <w:szCs w:val="24"/>
          <w:u w:color="000000"/>
        </w:rPr>
        <w:t xml:space="preserve">. </w:t>
      </w:r>
      <w:r w:rsidR="00646138">
        <w:rPr>
          <w:rFonts w:eastAsia="Arial Unicode MS"/>
          <w:color w:val="000000"/>
          <w:szCs w:val="24"/>
          <w:u w:color="000000"/>
        </w:rPr>
        <w:t>El 2013 resultó especialmente tormentoso, por lo que fue el pedrisco el riesgo que afectó más a estos cultivo</w:t>
      </w:r>
      <w:r w:rsidR="00873427">
        <w:rPr>
          <w:rFonts w:eastAsia="Arial Unicode MS"/>
          <w:color w:val="000000"/>
          <w:szCs w:val="24"/>
          <w:u w:color="000000"/>
        </w:rPr>
        <w:t>s</w:t>
      </w:r>
      <w:r w:rsidR="00646138">
        <w:rPr>
          <w:rFonts w:eastAsia="Arial Unicode MS"/>
          <w:color w:val="000000"/>
          <w:szCs w:val="24"/>
          <w:u w:color="000000"/>
        </w:rPr>
        <w:t>. En 2014, volvió a ser la sequía el riesgo que más</w:t>
      </w:r>
      <w:r w:rsidR="00873427">
        <w:rPr>
          <w:rFonts w:eastAsia="Arial Unicode MS"/>
          <w:color w:val="000000"/>
          <w:szCs w:val="24"/>
          <w:u w:color="000000"/>
        </w:rPr>
        <w:t xml:space="preserve"> incidencia tuvo en los mismos. </w:t>
      </w:r>
      <w:r w:rsidR="00646138">
        <w:rPr>
          <w:rFonts w:eastAsia="Arial Unicode MS"/>
          <w:color w:val="000000"/>
          <w:szCs w:val="24"/>
          <w:u w:color="000000"/>
        </w:rPr>
        <w:t>En</w:t>
      </w:r>
      <w:r w:rsidR="00873427">
        <w:rPr>
          <w:rFonts w:eastAsia="Arial Unicode MS"/>
          <w:color w:val="000000"/>
          <w:szCs w:val="24"/>
          <w:u w:color="000000"/>
        </w:rPr>
        <w:t xml:space="preserve"> estas</w:t>
      </w:r>
      <w:r w:rsidR="00646138">
        <w:rPr>
          <w:rFonts w:eastAsia="Arial Unicode MS"/>
          <w:color w:val="000000"/>
          <w:szCs w:val="24"/>
          <w:u w:color="000000"/>
        </w:rPr>
        <w:t xml:space="preserve"> tres últimas cosechas </w:t>
      </w:r>
      <w:r w:rsidR="00873427">
        <w:rPr>
          <w:rFonts w:eastAsia="Arial Unicode MS"/>
          <w:color w:val="000000"/>
          <w:szCs w:val="24"/>
          <w:u w:color="000000"/>
        </w:rPr>
        <w:t xml:space="preserve">se ha </w:t>
      </w:r>
      <w:r w:rsidR="00646138">
        <w:rPr>
          <w:rFonts w:eastAsia="Arial Unicode MS"/>
          <w:color w:val="000000"/>
          <w:szCs w:val="24"/>
          <w:u w:color="000000"/>
        </w:rPr>
        <w:t>acumula</w:t>
      </w:r>
      <w:r w:rsidR="00873427">
        <w:rPr>
          <w:rFonts w:eastAsia="Arial Unicode MS"/>
          <w:color w:val="000000"/>
          <w:szCs w:val="24"/>
          <w:u w:color="000000"/>
        </w:rPr>
        <w:t xml:space="preserve">do </w:t>
      </w:r>
      <w:r w:rsidR="00646138">
        <w:rPr>
          <w:rFonts w:eastAsia="Arial Unicode MS"/>
          <w:color w:val="000000"/>
          <w:szCs w:val="24"/>
          <w:u w:color="000000"/>
        </w:rPr>
        <w:t>una siniestralidad de más 284 millones de euros.</w:t>
      </w:r>
    </w:p>
    <w:p w:rsidR="00646138" w:rsidRDefault="00646138" w:rsidP="006A08C9">
      <w:pPr>
        <w:pStyle w:val="Textoindependiente"/>
        <w:spacing w:line="240" w:lineRule="auto"/>
        <w:ind w:right="-136"/>
        <w:rPr>
          <w:rFonts w:eastAsia="Arial Unicode MS"/>
          <w:color w:val="000000"/>
          <w:szCs w:val="24"/>
          <w:u w:color="000000"/>
        </w:rPr>
      </w:pPr>
    </w:p>
    <w:p w:rsidR="006A08C9" w:rsidRDefault="006A08C9" w:rsidP="006A08C9">
      <w:pPr>
        <w:jc w:val="both"/>
        <w:rPr>
          <w:rFonts w:ascii="Arial" w:hAnsi="Arial" w:cs="Arial"/>
          <w:szCs w:val="24"/>
        </w:rPr>
      </w:pPr>
      <w:r w:rsidRPr="00DE093C">
        <w:rPr>
          <w:rFonts w:ascii="Arial" w:eastAsia="Arial Unicode MS" w:hAnsi="Arial" w:cs="Arial"/>
          <w:color w:val="000000"/>
          <w:szCs w:val="24"/>
          <w:u w:color="000000"/>
        </w:rPr>
        <w:t>A lo largo de 2014</w:t>
      </w:r>
      <w:r>
        <w:rPr>
          <w:rFonts w:ascii="Arial" w:eastAsia="Arial Unicode MS" w:hAnsi="Arial" w:cs="Arial"/>
          <w:color w:val="000000"/>
          <w:szCs w:val="24"/>
          <w:u w:color="000000"/>
        </w:rPr>
        <w:t xml:space="preserve">, </w:t>
      </w:r>
      <w:r>
        <w:rPr>
          <w:rFonts w:ascii="Arial" w:hAnsi="Arial" w:cs="Arial"/>
          <w:szCs w:val="24"/>
        </w:rPr>
        <w:t>en el caso de la sequía, se han combinado dos situaciones diferentes. Por un lado se ha registrado una sequía hídrica</w:t>
      </w:r>
      <w:r w:rsidR="009D4BC6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provocada por una escasez de </w:t>
      </w:r>
      <w:r w:rsidRPr="00433D58">
        <w:rPr>
          <w:rFonts w:ascii="Arial" w:hAnsi="Arial" w:cs="Arial"/>
          <w:szCs w:val="24"/>
        </w:rPr>
        <w:t xml:space="preserve">precipitaciones </w:t>
      </w:r>
      <w:r>
        <w:rPr>
          <w:rFonts w:ascii="Arial" w:hAnsi="Arial" w:cs="Arial"/>
          <w:szCs w:val="24"/>
        </w:rPr>
        <w:t xml:space="preserve">prolongada </w:t>
      </w:r>
      <w:r w:rsidRPr="00433D58">
        <w:rPr>
          <w:rFonts w:ascii="Arial" w:hAnsi="Arial" w:cs="Arial"/>
          <w:szCs w:val="24"/>
        </w:rPr>
        <w:t>durante todo el año hidrológico</w:t>
      </w:r>
      <w:r w:rsidR="009D4BC6">
        <w:rPr>
          <w:rFonts w:ascii="Arial" w:hAnsi="Arial" w:cs="Arial"/>
          <w:szCs w:val="24"/>
        </w:rPr>
        <w:t>, que se extendió</w:t>
      </w:r>
      <w:r w:rsidRPr="00433D58">
        <w:rPr>
          <w:rFonts w:ascii="Arial" w:hAnsi="Arial" w:cs="Arial"/>
          <w:szCs w:val="24"/>
        </w:rPr>
        <w:t xml:space="preserve"> desde Albacete hasta la provincia de Valencia y desde Alicante hasta Málaga.</w:t>
      </w:r>
      <w:r>
        <w:rPr>
          <w:rFonts w:ascii="Arial" w:hAnsi="Arial" w:cs="Arial"/>
          <w:szCs w:val="24"/>
        </w:rPr>
        <w:t xml:space="preserve"> </w:t>
      </w:r>
    </w:p>
    <w:p w:rsidR="006A08C9" w:rsidRDefault="006A08C9" w:rsidP="006A08C9">
      <w:pPr>
        <w:jc w:val="both"/>
        <w:rPr>
          <w:rFonts w:ascii="Arial" w:hAnsi="Arial" w:cs="Arial"/>
          <w:szCs w:val="24"/>
        </w:rPr>
      </w:pPr>
    </w:p>
    <w:p w:rsidR="006A08C9" w:rsidRDefault="006A08C9" w:rsidP="006A08C9">
      <w:pPr>
        <w:jc w:val="both"/>
        <w:rPr>
          <w:rFonts w:ascii="Arial" w:hAnsi="Arial" w:cs="Arial"/>
          <w:szCs w:val="24"/>
        </w:rPr>
      </w:pPr>
      <w:r w:rsidRPr="00644226">
        <w:rPr>
          <w:rFonts w:ascii="Arial" w:hAnsi="Arial" w:cs="Arial"/>
          <w:szCs w:val="24"/>
        </w:rPr>
        <w:t xml:space="preserve">Por </w:t>
      </w:r>
      <w:r>
        <w:rPr>
          <w:rFonts w:ascii="Arial" w:hAnsi="Arial" w:cs="Arial"/>
          <w:szCs w:val="24"/>
        </w:rPr>
        <w:t xml:space="preserve">otro lado, </w:t>
      </w:r>
      <w:r w:rsidRPr="00644226">
        <w:rPr>
          <w:rFonts w:ascii="Arial" w:hAnsi="Arial" w:cs="Arial"/>
          <w:szCs w:val="24"/>
        </w:rPr>
        <w:t xml:space="preserve">en las zonas más cerealistas del resto de la Península, </w:t>
      </w:r>
      <w:r>
        <w:rPr>
          <w:rFonts w:ascii="Arial" w:hAnsi="Arial" w:cs="Arial"/>
          <w:szCs w:val="24"/>
        </w:rPr>
        <w:t>se ha producido una sequía agronómica</w:t>
      </w:r>
      <w:r w:rsidR="009D4BC6">
        <w:rPr>
          <w:rFonts w:ascii="Arial" w:hAnsi="Arial" w:cs="Arial"/>
          <w:szCs w:val="24"/>
        </w:rPr>
        <w:t>, puesto que, si bien</w:t>
      </w:r>
      <w:r w:rsidR="002054B9">
        <w:rPr>
          <w:rFonts w:ascii="Arial" w:hAnsi="Arial" w:cs="Arial"/>
          <w:szCs w:val="24"/>
        </w:rPr>
        <w:t xml:space="preserve"> desde el inicio de la campaña hasta el mes de abril el comportamiento climático auguraba </w:t>
      </w:r>
      <w:r w:rsidRPr="00644226">
        <w:rPr>
          <w:rFonts w:ascii="Arial" w:hAnsi="Arial" w:cs="Arial"/>
          <w:szCs w:val="24"/>
        </w:rPr>
        <w:t xml:space="preserve">una buena cosecha de cereal, ya que las precipitaciones </w:t>
      </w:r>
      <w:r>
        <w:rPr>
          <w:rFonts w:ascii="Arial" w:hAnsi="Arial" w:cs="Arial"/>
          <w:szCs w:val="24"/>
        </w:rPr>
        <w:t>fueron</w:t>
      </w:r>
      <w:r w:rsidRPr="00644226">
        <w:rPr>
          <w:rFonts w:ascii="Arial" w:hAnsi="Arial" w:cs="Arial"/>
          <w:szCs w:val="24"/>
        </w:rPr>
        <w:t xml:space="preserve"> adecuadas</w:t>
      </w:r>
      <w:r w:rsidR="009D4BC6">
        <w:rPr>
          <w:rFonts w:ascii="Arial" w:hAnsi="Arial" w:cs="Arial"/>
          <w:szCs w:val="24"/>
        </w:rPr>
        <w:t>, l</w:t>
      </w:r>
      <w:r>
        <w:rPr>
          <w:rFonts w:ascii="Arial" w:hAnsi="Arial" w:cs="Arial"/>
          <w:szCs w:val="24"/>
        </w:rPr>
        <w:t xml:space="preserve">a </w:t>
      </w:r>
      <w:r w:rsidRPr="00644226">
        <w:rPr>
          <w:rFonts w:ascii="Arial" w:hAnsi="Arial" w:cs="Arial"/>
          <w:szCs w:val="24"/>
        </w:rPr>
        <w:t>escasez de heladas</w:t>
      </w:r>
      <w:r>
        <w:rPr>
          <w:rFonts w:ascii="Arial" w:hAnsi="Arial" w:cs="Arial"/>
          <w:szCs w:val="24"/>
        </w:rPr>
        <w:t xml:space="preserve"> y </w:t>
      </w:r>
      <w:r w:rsidRPr="00644226">
        <w:rPr>
          <w:rFonts w:ascii="Arial" w:hAnsi="Arial" w:cs="Arial"/>
          <w:szCs w:val="24"/>
        </w:rPr>
        <w:t>el exceso de humedad a lo largo del ciclo del cereal</w:t>
      </w:r>
      <w:r>
        <w:rPr>
          <w:rFonts w:ascii="Arial" w:hAnsi="Arial" w:cs="Arial"/>
          <w:szCs w:val="24"/>
        </w:rPr>
        <w:t xml:space="preserve"> unido a un </w:t>
      </w:r>
      <w:r w:rsidRPr="00644226">
        <w:rPr>
          <w:rFonts w:ascii="Arial" w:hAnsi="Arial" w:cs="Arial"/>
          <w:szCs w:val="24"/>
        </w:rPr>
        <w:t>invierno de temperaturas</w:t>
      </w:r>
      <w:r>
        <w:rPr>
          <w:rFonts w:ascii="Arial" w:hAnsi="Arial" w:cs="Arial"/>
          <w:szCs w:val="24"/>
        </w:rPr>
        <w:t xml:space="preserve"> muy suaves provocaron que las raí</w:t>
      </w:r>
      <w:r w:rsidRPr="00644226">
        <w:rPr>
          <w:rFonts w:ascii="Arial" w:hAnsi="Arial" w:cs="Arial"/>
          <w:szCs w:val="24"/>
        </w:rPr>
        <w:t>ces no se desarrolla</w:t>
      </w:r>
      <w:r>
        <w:rPr>
          <w:rFonts w:ascii="Arial" w:hAnsi="Arial" w:cs="Arial"/>
          <w:szCs w:val="24"/>
        </w:rPr>
        <w:t xml:space="preserve">sen </w:t>
      </w:r>
      <w:r w:rsidRPr="00644226">
        <w:rPr>
          <w:rFonts w:ascii="Arial" w:hAnsi="Arial" w:cs="Arial"/>
          <w:szCs w:val="24"/>
        </w:rPr>
        <w:t>en profundidad</w:t>
      </w:r>
      <w:r>
        <w:rPr>
          <w:rFonts w:ascii="Arial" w:hAnsi="Arial" w:cs="Arial"/>
          <w:szCs w:val="24"/>
        </w:rPr>
        <w:t xml:space="preserve">. Con la llegada de la primavera, se registraron </w:t>
      </w:r>
      <w:r w:rsidRPr="00644226">
        <w:rPr>
          <w:rFonts w:ascii="Arial" w:hAnsi="Arial" w:cs="Arial"/>
          <w:szCs w:val="24"/>
        </w:rPr>
        <w:t xml:space="preserve">temperaturas </w:t>
      </w:r>
      <w:r>
        <w:rPr>
          <w:rFonts w:ascii="Arial" w:hAnsi="Arial" w:cs="Arial"/>
          <w:szCs w:val="24"/>
        </w:rPr>
        <w:t xml:space="preserve">demasiado elevadas y, por el contrario a lo que ocurrió en otoño, una escasez de lluvias que provocaron que ante el poco desarrollo de las raíces de los cultivos, estos no tuvieran </w:t>
      </w:r>
      <w:r w:rsidRPr="00644226">
        <w:rPr>
          <w:rFonts w:ascii="Arial" w:hAnsi="Arial" w:cs="Arial"/>
          <w:szCs w:val="24"/>
        </w:rPr>
        <w:t>agua a su disposición.</w:t>
      </w:r>
      <w:r>
        <w:rPr>
          <w:rFonts w:ascii="Arial" w:hAnsi="Arial" w:cs="Arial"/>
          <w:szCs w:val="24"/>
        </w:rPr>
        <w:t xml:space="preserve"> Esta situación afectó </w:t>
      </w:r>
      <w:r w:rsidRPr="00644226">
        <w:rPr>
          <w:rFonts w:ascii="Arial" w:hAnsi="Arial" w:cs="Arial"/>
          <w:szCs w:val="24"/>
        </w:rPr>
        <w:t>fundamentalmente a Castilla-La Mancha, Castilla y León, Aragón y determinadas zonas del norte de la Península.</w:t>
      </w:r>
      <w:r w:rsidRPr="006454F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En total, las hectáreas de cultivos herbáceos extensivos afectadas por ambos </w:t>
      </w:r>
      <w:r>
        <w:rPr>
          <w:rFonts w:ascii="Arial" w:hAnsi="Arial" w:cs="Arial"/>
          <w:szCs w:val="24"/>
        </w:rPr>
        <w:lastRenderedPageBreak/>
        <w:t>tipos de sequía superan las 795.650.</w:t>
      </w:r>
      <w:r w:rsidR="002054B9">
        <w:rPr>
          <w:rFonts w:ascii="Arial" w:hAnsi="Arial" w:cs="Arial"/>
          <w:szCs w:val="24"/>
        </w:rPr>
        <w:t xml:space="preserve"> Al final, los daños causados por este y por otros riesgos gene</w:t>
      </w:r>
      <w:r w:rsidR="008626BB">
        <w:rPr>
          <w:rFonts w:ascii="Arial" w:hAnsi="Arial" w:cs="Arial"/>
          <w:szCs w:val="24"/>
        </w:rPr>
        <w:t>r</w:t>
      </w:r>
      <w:r w:rsidR="009D4BC6">
        <w:rPr>
          <w:rFonts w:ascii="Arial" w:hAnsi="Arial" w:cs="Arial"/>
          <w:szCs w:val="24"/>
        </w:rPr>
        <w:t>aron una siniestralidad</w:t>
      </w:r>
      <w:r w:rsidR="002054B9">
        <w:rPr>
          <w:rFonts w:ascii="Arial" w:hAnsi="Arial" w:cs="Arial"/>
          <w:szCs w:val="24"/>
        </w:rPr>
        <w:t xml:space="preserve"> </w:t>
      </w:r>
      <w:r w:rsidR="009D4BC6">
        <w:rPr>
          <w:rFonts w:ascii="Arial" w:hAnsi="Arial" w:cs="Arial"/>
          <w:szCs w:val="24"/>
        </w:rPr>
        <w:t xml:space="preserve">que </w:t>
      </w:r>
      <w:r w:rsidR="002054B9">
        <w:rPr>
          <w:rFonts w:ascii="Arial" w:hAnsi="Arial" w:cs="Arial"/>
          <w:szCs w:val="24"/>
        </w:rPr>
        <w:t>supera los 88,5 millones de euros</w:t>
      </w:r>
      <w:r w:rsidR="009D4BC6">
        <w:rPr>
          <w:rFonts w:ascii="Arial" w:hAnsi="Arial" w:cs="Arial"/>
          <w:szCs w:val="24"/>
        </w:rPr>
        <w:t>, que ya está completamente pagada a los agri</w:t>
      </w:r>
      <w:r w:rsidR="00B936FD">
        <w:rPr>
          <w:rFonts w:ascii="Arial" w:hAnsi="Arial" w:cs="Arial"/>
          <w:szCs w:val="24"/>
        </w:rPr>
        <w:t>cultores</w:t>
      </w:r>
      <w:r w:rsidR="002054B9">
        <w:rPr>
          <w:rFonts w:ascii="Arial" w:hAnsi="Arial" w:cs="Arial"/>
          <w:szCs w:val="24"/>
        </w:rPr>
        <w:t>.</w:t>
      </w:r>
    </w:p>
    <w:p w:rsidR="006A08C9" w:rsidRDefault="006A08C9" w:rsidP="006A08C9">
      <w:pPr>
        <w:pStyle w:val="Textoindependiente"/>
        <w:spacing w:line="240" w:lineRule="auto"/>
        <w:ind w:right="-136"/>
        <w:rPr>
          <w:rFonts w:eastAsia="Arial Unicode MS"/>
          <w:color w:val="000000"/>
          <w:szCs w:val="24"/>
          <w:u w:color="000000"/>
        </w:rPr>
      </w:pPr>
    </w:p>
    <w:bookmarkEnd w:id="0"/>
    <w:p w:rsidR="006A08C9" w:rsidRPr="00C70DE7" w:rsidRDefault="006A08C9" w:rsidP="00C70DE7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Ante este tipo de situaciones</w:t>
      </w:r>
      <w:r w:rsidR="00B936F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el seguro para Explotaciones de Cultivos Herbáceos se presenta como una her</w:t>
      </w:r>
      <w:r w:rsidR="00B936FD">
        <w:rPr>
          <w:rFonts w:ascii="Arial" w:hAnsi="Arial" w:cs="Arial"/>
          <w:szCs w:val="24"/>
        </w:rPr>
        <w:t>ramienta eficaz para proteger l</w:t>
      </w:r>
      <w:r>
        <w:rPr>
          <w:rFonts w:ascii="Arial" w:hAnsi="Arial" w:cs="Arial"/>
          <w:szCs w:val="24"/>
        </w:rPr>
        <w:t>a cosecha. A través de los módulos 1 y 2, en contratación hasta el 20 de diciembre, el agricultor asegura su cosecha frente a la sequía, así como frente al pedrisco y otros riesgos tales com</w:t>
      </w:r>
      <w:r w:rsidR="00CC5D48">
        <w:rPr>
          <w:rFonts w:ascii="Arial" w:hAnsi="Arial" w:cs="Arial"/>
          <w:szCs w:val="24"/>
        </w:rPr>
        <w:t>o el incendio</w:t>
      </w:r>
      <w:r w:rsidR="00B936FD">
        <w:rPr>
          <w:rFonts w:ascii="Arial" w:hAnsi="Arial" w:cs="Arial"/>
          <w:szCs w:val="24"/>
        </w:rPr>
        <w:t xml:space="preserve"> y</w:t>
      </w:r>
      <w:r w:rsidR="00CC5D48">
        <w:rPr>
          <w:rFonts w:ascii="Arial" w:hAnsi="Arial" w:cs="Arial"/>
          <w:szCs w:val="24"/>
        </w:rPr>
        <w:t xml:space="preserve"> no nascencia</w:t>
      </w:r>
      <w:r>
        <w:rPr>
          <w:rFonts w:ascii="Arial" w:hAnsi="Arial" w:cs="Arial"/>
          <w:szCs w:val="24"/>
        </w:rPr>
        <w:t xml:space="preserve">, entre otros. </w:t>
      </w:r>
    </w:p>
    <w:p w:rsidR="006A08C9" w:rsidRDefault="006A08C9" w:rsidP="00175ADF">
      <w:pPr>
        <w:pStyle w:val="Body1"/>
        <w:tabs>
          <w:tab w:val="left" w:pos="3119"/>
          <w:tab w:val="left" w:pos="5291"/>
        </w:tabs>
        <w:jc w:val="both"/>
        <w:rPr>
          <w:rFonts w:ascii="Arial" w:hAnsi="Arial" w:cs="Arial"/>
          <w:lang w:val="es-ES_tradnl"/>
        </w:rPr>
      </w:pPr>
    </w:p>
    <w:p w:rsidR="006A08C9" w:rsidRDefault="006A08C9" w:rsidP="00175ADF">
      <w:pPr>
        <w:pStyle w:val="Body1"/>
        <w:tabs>
          <w:tab w:val="left" w:pos="3119"/>
          <w:tab w:val="left" w:pos="5291"/>
        </w:tabs>
        <w:jc w:val="both"/>
        <w:rPr>
          <w:rFonts w:ascii="Arial" w:hAnsi="Arial" w:cs="Arial"/>
          <w:lang w:val="es-ES_tradnl"/>
        </w:rPr>
      </w:pPr>
    </w:p>
    <w:p w:rsidR="006A08C9" w:rsidRDefault="006A08C9" w:rsidP="00175ADF">
      <w:pPr>
        <w:pStyle w:val="Body1"/>
        <w:tabs>
          <w:tab w:val="left" w:pos="3119"/>
          <w:tab w:val="left" w:pos="5291"/>
        </w:tabs>
        <w:jc w:val="both"/>
        <w:rPr>
          <w:rFonts w:ascii="Arial" w:hAnsi="Arial" w:cs="Arial"/>
          <w:lang w:val="es-ES_tradnl"/>
        </w:rPr>
      </w:pPr>
    </w:p>
    <w:p w:rsidR="00425BBF" w:rsidRPr="00B170F2" w:rsidRDefault="00425BBF" w:rsidP="00B170F2">
      <w:pPr>
        <w:tabs>
          <w:tab w:val="center" w:pos="4252"/>
          <w:tab w:val="right" w:pos="8504"/>
        </w:tabs>
        <w:jc w:val="both"/>
        <w:outlineLvl w:val="0"/>
        <w:rPr>
          <w:rFonts w:ascii="Arial" w:eastAsia="Arial Unicode MS" w:hAnsi="Arial" w:cs="Arial"/>
          <w:color w:val="000000"/>
          <w:szCs w:val="24"/>
          <w:u w:color="000000"/>
        </w:rPr>
      </w:pPr>
    </w:p>
    <w:p w:rsidR="004C2BA2" w:rsidRPr="008602C1" w:rsidRDefault="004C2BA2" w:rsidP="00B170F2">
      <w:pPr>
        <w:pStyle w:val="Encabezado"/>
        <w:tabs>
          <w:tab w:val="clear" w:pos="4252"/>
          <w:tab w:val="clear" w:pos="8504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8602C1">
        <w:rPr>
          <w:rFonts w:ascii="Arial" w:hAnsi="Arial" w:cs="Arial"/>
          <w:sz w:val="22"/>
          <w:szCs w:val="22"/>
        </w:rPr>
        <w:t>FIN</w:t>
      </w:r>
    </w:p>
    <w:sectPr w:rsidR="004C2BA2" w:rsidRPr="008602C1" w:rsidSect="003C3B41">
      <w:headerReference w:type="default" r:id="rId9"/>
      <w:footerReference w:type="default" r:id="rId10"/>
      <w:pgSz w:w="11906" w:h="16838" w:code="9"/>
      <w:pgMar w:top="1134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CC0" w:rsidRDefault="00B40CC0">
      <w:r>
        <w:separator/>
      </w:r>
    </w:p>
  </w:endnote>
  <w:endnote w:type="continuationSeparator" w:id="0">
    <w:p w:rsidR="00B40CC0" w:rsidRDefault="00B4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rus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4"/>
      <w:gridCol w:w="3164"/>
      <w:gridCol w:w="3164"/>
    </w:tblGrid>
    <w:tr w:rsidR="00FF3972">
      <w:trPr>
        <w:cantSplit/>
        <w:trHeight w:val="176"/>
      </w:trPr>
      <w:tc>
        <w:tcPr>
          <w:tcW w:w="3164" w:type="dxa"/>
        </w:tcPr>
        <w:p w:rsidR="00FF3972" w:rsidRPr="00D427EB" w:rsidRDefault="00FF3972">
          <w:pPr>
            <w:pStyle w:val="Piedepgina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Dpto. de Com</w:t>
          </w:r>
          <w:r w:rsidRPr="00D427EB">
            <w:rPr>
              <w:rFonts w:ascii="Arial" w:hAnsi="Arial"/>
              <w:sz w:val="16"/>
              <w:szCs w:val="16"/>
            </w:rPr>
            <w:t>unicación y Divulgación</w:t>
          </w:r>
        </w:p>
      </w:tc>
      <w:tc>
        <w:tcPr>
          <w:tcW w:w="3164" w:type="dxa"/>
        </w:tcPr>
        <w:p w:rsidR="00FF3972" w:rsidRPr="0040132E" w:rsidRDefault="00FF3972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4" w:type="dxa"/>
        </w:tcPr>
        <w:p w:rsidR="00FF3972" w:rsidRPr="009374C8" w:rsidRDefault="00FF3972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374C8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9374C8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9374C8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2D155E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9374C8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FF3972" w:rsidRDefault="00FF3972">
    <w:pPr>
      <w:pStyle w:val="Piedepgina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CC0" w:rsidRDefault="00B40CC0">
      <w:r>
        <w:separator/>
      </w:r>
    </w:p>
  </w:footnote>
  <w:footnote w:type="continuationSeparator" w:id="0">
    <w:p w:rsidR="00B40CC0" w:rsidRDefault="00B4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Ind w:w="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4"/>
    </w:tblGrid>
    <w:tr w:rsidR="00FF3972" w:rsidTr="006E638A">
      <w:trPr>
        <w:cantSplit/>
        <w:trHeight w:val="1124"/>
      </w:trPr>
      <w:tc>
        <w:tcPr>
          <w:tcW w:w="9784" w:type="dxa"/>
          <w:vAlign w:val="center"/>
        </w:tcPr>
        <w:p w:rsidR="00FF3972" w:rsidRDefault="00FF3972">
          <w:pPr>
            <w:pStyle w:val="Encabezado"/>
          </w:pPr>
          <w:r>
            <w:rPr>
              <w:noProof/>
              <w:snapToGrid/>
              <w:lang w:val="es-E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22860</wp:posOffset>
                </wp:positionV>
                <wp:extent cx="2753995" cy="605790"/>
                <wp:effectExtent l="19050" t="0" r="8255" b="0"/>
                <wp:wrapNone/>
                <wp:docPr id="1" name="Imagen 1" descr="LOGO PAP ESP CO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P ESP COL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399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                                    </w:t>
          </w:r>
        </w:p>
        <w:p w:rsidR="00FF3972" w:rsidRDefault="00FF3972" w:rsidP="00352A4B">
          <w:pPr>
            <w:pStyle w:val="Encabezado"/>
            <w:jc w:val="both"/>
            <w:rPr>
              <w:rFonts w:ascii="Arial" w:hAnsi="Arial" w:cs="Arial"/>
              <w:b/>
              <w:bCs/>
            </w:rPr>
          </w:pPr>
          <w:r>
            <w:t xml:space="preserve"> </w:t>
          </w:r>
          <w:r>
            <w:rPr>
              <w:rFonts w:ascii="Arial" w:hAnsi="Arial" w:cs="Arial"/>
              <w:b/>
              <w:bCs/>
            </w:rPr>
            <w:t>NOTA DE PRENSA</w:t>
          </w:r>
        </w:p>
        <w:p w:rsidR="00FF3972" w:rsidRPr="00D53C4F" w:rsidRDefault="00FF3972" w:rsidP="00352A4B">
          <w:pPr>
            <w:pStyle w:val="Encabezado"/>
            <w:jc w:val="right"/>
            <w:rPr>
              <w:rFonts w:ascii="Arial" w:hAnsi="Arial" w:cs="Arial"/>
              <w:b/>
              <w:bCs/>
            </w:rPr>
          </w:pPr>
        </w:p>
      </w:tc>
    </w:tr>
  </w:tbl>
  <w:p w:rsidR="00FF3972" w:rsidRDefault="00FF39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D3C"/>
    <w:multiLevelType w:val="hybridMultilevel"/>
    <w:tmpl w:val="2E54AE08"/>
    <w:lvl w:ilvl="0" w:tplc="9A7E6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67B4D"/>
    <w:multiLevelType w:val="hybridMultilevel"/>
    <w:tmpl w:val="D6DA2374"/>
    <w:lvl w:ilvl="0" w:tplc="BA2264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71E51"/>
    <w:multiLevelType w:val="hybridMultilevel"/>
    <w:tmpl w:val="B088CA36"/>
    <w:lvl w:ilvl="0" w:tplc="6666B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46E36"/>
    <w:multiLevelType w:val="hybridMultilevel"/>
    <w:tmpl w:val="A68E0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D0DC3"/>
    <w:multiLevelType w:val="hybridMultilevel"/>
    <w:tmpl w:val="786AD5B4"/>
    <w:lvl w:ilvl="0" w:tplc="0C965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8C"/>
    <w:rsid w:val="00001559"/>
    <w:rsid w:val="00004C28"/>
    <w:rsid w:val="000122F1"/>
    <w:rsid w:val="00025FF5"/>
    <w:rsid w:val="00035A30"/>
    <w:rsid w:val="00042F15"/>
    <w:rsid w:val="000533CE"/>
    <w:rsid w:val="00056284"/>
    <w:rsid w:val="00057A93"/>
    <w:rsid w:val="000716B8"/>
    <w:rsid w:val="00092081"/>
    <w:rsid w:val="00096E17"/>
    <w:rsid w:val="000A6F47"/>
    <w:rsid w:val="000C0B12"/>
    <w:rsid w:val="000C3F6A"/>
    <w:rsid w:val="000C58EC"/>
    <w:rsid w:val="000D5F9D"/>
    <w:rsid w:val="000E2786"/>
    <w:rsid w:val="00116EDA"/>
    <w:rsid w:val="001175EF"/>
    <w:rsid w:val="001177C2"/>
    <w:rsid w:val="0013043B"/>
    <w:rsid w:val="0013279A"/>
    <w:rsid w:val="00141F99"/>
    <w:rsid w:val="001422AB"/>
    <w:rsid w:val="00147007"/>
    <w:rsid w:val="00152B7E"/>
    <w:rsid w:val="00160A1B"/>
    <w:rsid w:val="00161307"/>
    <w:rsid w:val="00161C5C"/>
    <w:rsid w:val="0016698E"/>
    <w:rsid w:val="001714EA"/>
    <w:rsid w:val="0017283E"/>
    <w:rsid w:val="00175557"/>
    <w:rsid w:val="00175ADF"/>
    <w:rsid w:val="001835E8"/>
    <w:rsid w:val="001842DD"/>
    <w:rsid w:val="00190C99"/>
    <w:rsid w:val="00193953"/>
    <w:rsid w:val="001978CB"/>
    <w:rsid w:val="001A346A"/>
    <w:rsid w:val="001A57D3"/>
    <w:rsid w:val="001B3A7A"/>
    <w:rsid w:val="001B3B45"/>
    <w:rsid w:val="001C261A"/>
    <w:rsid w:val="001D2FBC"/>
    <w:rsid w:val="001E5BA6"/>
    <w:rsid w:val="001F4896"/>
    <w:rsid w:val="001F4CB5"/>
    <w:rsid w:val="002054B9"/>
    <w:rsid w:val="00207D30"/>
    <w:rsid w:val="00221652"/>
    <w:rsid w:val="00222282"/>
    <w:rsid w:val="002238E1"/>
    <w:rsid w:val="00224756"/>
    <w:rsid w:val="0023466B"/>
    <w:rsid w:val="00253536"/>
    <w:rsid w:val="00253977"/>
    <w:rsid w:val="00260C68"/>
    <w:rsid w:val="0026444C"/>
    <w:rsid w:val="00282E3C"/>
    <w:rsid w:val="00283732"/>
    <w:rsid w:val="00292471"/>
    <w:rsid w:val="0029266D"/>
    <w:rsid w:val="002967E4"/>
    <w:rsid w:val="002A07E6"/>
    <w:rsid w:val="002A4C10"/>
    <w:rsid w:val="002B3B50"/>
    <w:rsid w:val="002B475D"/>
    <w:rsid w:val="002B49F4"/>
    <w:rsid w:val="002B68E1"/>
    <w:rsid w:val="002D155E"/>
    <w:rsid w:val="002D3D72"/>
    <w:rsid w:val="002D6B76"/>
    <w:rsid w:val="002E463D"/>
    <w:rsid w:val="002F38A9"/>
    <w:rsid w:val="003030C5"/>
    <w:rsid w:val="00305018"/>
    <w:rsid w:val="00306B85"/>
    <w:rsid w:val="00311D86"/>
    <w:rsid w:val="00311F8D"/>
    <w:rsid w:val="003156EA"/>
    <w:rsid w:val="0031673A"/>
    <w:rsid w:val="00331393"/>
    <w:rsid w:val="00337F7D"/>
    <w:rsid w:val="003431CB"/>
    <w:rsid w:val="00343AFC"/>
    <w:rsid w:val="00352391"/>
    <w:rsid w:val="00352873"/>
    <w:rsid w:val="00352A4B"/>
    <w:rsid w:val="003568AD"/>
    <w:rsid w:val="003600C2"/>
    <w:rsid w:val="00361CD0"/>
    <w:rsid w:val="00362CEF"/>
    <w:rsid w:val="00376C3C"/>
    <w:rsid w:val="0038186D"/>
    <w:rsid w:val="00386131"/>
    <w:rsid w:val="003971DE"/>
    <w:rsid w:val="003A430D"/>
    <w:rsid w:val="003B3F1E"/>
    <w:rsid w:val="003C3B41"/>
    <w:rsid w:val="003D118D"/>
    <w:rsid w:val="003D1EBE"/>
    <w:rsid w:val="003D5C60"/>
    <w:rsid w:val="003E2D0C"/>
    <w:rsid w:val="003E34E6"/>
    <w:rsid w:val="003E4E07"/>
    <w:rsid w:val="003F6AA7"/>
    <w:rsid w:val="0040132E"/>
    <w:rsid w:val="00401509"/>
    <w:rsid w:val="00401865"/>
    <w:rsid w:val="0040187C"/>
    <w:rsid w:val="00407334"/>
    <w:rsid w:val="0041598B"/>
    <w:rsid w:val="00425BBF"/>
    <w:rsid w:val="00430D82"/>
    <w:rsid w:val="00432F90"/>
    <w:rsid w:val="00460384"/>
    <w:rsid w:val="0046160B"/>
    <w:rsid w:val="00476651"/>
    <w:rsid w:val="004803E2"/>
    <w:rsid w:val="00482320"/>
    <w:rsid w:val="00484C0F"/>
    <w:rsid w:val="00485575"/>
    <w:rsid w:val="0049004E"/>
    <w:rsid w:val="004A0F54"/>
    <w:rsid w:val="004A682E"/>
    <w:rsid w:val="004C2BA2"/>
    <w:rsid w:val="004D13F1"/>
    <w:rsid w:val="004D1694"/>
    <w:rsid w:val="004D32E3"/>
    <w:rsid w:val="004D6A5E"/>
    <w:rsid w:val="004E66C4"/>
    <w:rsid w:val="004E7AAD"/>
    <w:rsid w:val="004F3BB7"/>
    <w:rsid w:val="004F6228"/>
    <w:rsid w:val="00503256"/>
    <w:rsid w:val="00506ADC"/>
    <w:rsid w:val="00511C5B"/>
    <w:rsid w:val="00513F2E"/>
    <w:rsid w:val="00515EAC"/>
    <w:rsid w:val="0053434D"/>
    <w:rsid w:val="00541296"/>
    <w:rsid w:val="005422F4"/>
    <w:rsid w:val="00547F27"/>
    <w:rsid w:val="00557761"/>
    <w:rsid w:val="00560E1C"/>
    <w:rsid w:val="00564664"/>
    <w:rsid w:val="00594F0D"/>
    <w:rsid w:val="00597B2E"/>
    <w:rsid w:val="005A6284"/>
    <w:rsid w:val="005A7BC2"/>
    <w:rsid w:val="005B238C"/>
    <w:rsid w:val="005C44BE"/>
    <w:rsid w:val="005C6945"/>
    <w:rsid w:val="005D0550"/>
    <w:rsid w:val="005E0B7A"/>
    <w:rsid w:val="005E25F3"/>
    <w:rsid w:val="005E55B8"/>
    <w:rsid w:val="005E6962"/>
    <w:rsid w:val="005F2504"/>
    <w:rsid w:val="005F7FE7"/>
    <w:rsid w:val="00603BC6"/>
    <w:rsid w:val="006054FC"/>
    <w:rsid w:val="00610CD9"/>
    <w:rsid w:val="00614EA0"/>
    <w:rsid w:val="0062427F"/>
    <w:rsid w:val="00631B71"/>
    <w:rsid w:val="00634E7B"/>
    <w:rsid w:val="0064252D"/>
    <w:rsid w:val="00646138"/>
    <w:rsid w:val="00647D9F"/>
    <w:rsid w:val="00653FAD"/>
    <w:rsid w:val="006656F9"/>
    <w:rsid w:val="00666087"/>
    <w:rsid w:val="0066615B"/>
    <w:rsid w:val="00683E7F"/>
    <w:rsid w:val="00687718"/>
    <w:rsid w:val="006A08C9"/>
    <w:rsid w:val="006A3A09"/>
    <w:rsid w:val="006A4DAC"/>
    <w:rsid w:val="006D0BD8"/>
    <w:rsid w:val="006D5A3F"/>
    <w:rsid w:val="006E638A"/>
    <w:rsid w:val="006F23A8"/>
    <w:rsid w:val="006F6859"/>
    <w:rsid w:val="0070205C"/>
    <w:rsid w:val="0070440D"/>
    <w:rsid w:val="0073266D"/>
    <w:rsid w:val="00743AD4"/>
    <w:rsid w:val="00754DB2"/>
    <w:rsid w:val="007571A3"/>
    <w:rsid w:val="00767F66"/>
    <w:rsid w:val="00771FF7"/>
    <w:rsid w:val="00776626"/>
    <w:rsid w:val="00784F98"/>
    <w:rsid w:val="0078723B"/>
    <w:rsid w:val="00790A18"/>
    <w:rsid w:val="007935A1"/>
    <w:rsid w:val="007A4151"/>
    <w:rsid w:val="007A4CE3"/>
    <w:rsid w:val="007A4E33"/>
    <w:rsid w:val="007A5E21"/>
    <w:rsid w:val="007C667B"/>
    <w:rsid w:val="007D5BDF"/>
    <w:rsid w:val="007E349F"/>
    <w:rsid w:val="007E46F8"/>
    <w:rsid w:val="007E69AD"/>
    <w:rsid w:val="007F7D34"/>
    <w:rsid w:val="0080013B"/>
    <w:rsid w:val="0080442A"/>
    <w:rsid w:val="00804A9E"/>
    <w:rsid w:val="0081188A"/>
    <w:rsid w:val="00823BBA"/>
    <w:rsid w:val="00830DE3"/>
    <w:rsid w:val="00834871"/>
    <w:rsid w:val="00834BCA"/>
    <w:rsid w:val="00837F00"/>
    <w:rsid w:val="0084599B"/>
    <w:rsid w:val="00850D4F"/>
    <w:rsid w:val="008602C1"/>
    <w:rsid w:val="00861066"/>
    <w:rsid w:val="008626BB"/>
    <w:rsid w:val="00865CB0"/>
    <w:rsid w:val="00873427"/>
    <w:rsid w:val="00875866"/>
    <w:rsid w:val="00880EF0"/>
    <w:rsid w:val="00885663"/>
    <w:rsid w:val="00894BBE"/>
    <w:rsid w:val="00895F1D"/>
    <w:rsid w:val="008977F1"/>
    <w:rsid w:val="008B3378"/>
    <w:rsid w:val="008C7CC4"/>
    <w:rsid w:val="008D06D7"/>
    <w:rsid w:val="008D2205"/>
    <w:rsid w:val="008E217C"/>
    <w:rsid w:val="008E5D4E"/>
    <w:rsid w:val="008F009D"/>
    <w:rsid w:val="008F6B28"/>
    <w:rsid w:val="00906833"/>
    <w:rsid w:val="00910A8C"/>
    <w:rsid w:val="00911331"/>
    <w:rsid w:val="0091506D"/>
    <w:rsid w:val="00920049"/>
    <w:rsid w:val="00920BC1"/>
    <w:rsid w:val="00921662"/>
    <w:rsid w:val="00925F4A"/>
    <w:rsid w:val="009374C8"/>
    <w:rsid w:val="00944F28"/>
    <w:rsid w:val="00947443"/>
    <w:rsid w:val="009554D1"/>
    <w:rsid w:val="0095676D"/>
    <w:rsid w:val="00961F88"/>
    <w:rsid w:val="0097060C"/>
    <w:rsid w:val="00980F6B"/>
    <w:rsid w:val="00985467"/>
    <w:rsid w:val="00987A78"/>
    <w:rsid w:val="0099523C"/>
    <w:rsid w:val="009A088C"/>
    <w:rsid w:val="009D4199"/>
    <w:rsid w:val="009D4BC6"/>
    <w:rsid w:val="009D5C56"/>
    <w:rsid w:val="009D743E"/>
    <w:rsid w:val="009E1525"/>
    <w:rsid w:val="009F29F6"/>
    <w:rsid w:val="009F67E9"/>
    <w:rsid w:val="00A001CD"/>
    <w:rsid w:val="00A00639"/>
    <w:rsid w:val="00A01143"/>
    <w:rsid w:val="00A13A97"/>
    <w:rsid w:val="00A15740"/>
    <w:rsid w:val="00A40F99"/>
    <w:rsid w:val="00A422D2"/>
    <w:rsid w:val="00A4576D"/>
    <w:rsid w:val="00A50C25"/>
    <w:rsid w:val="00A511BD"/>
    <w:rsid w:val="00A53C5D"/>
    <w:rsid w:val="00A54650"/>
    <w:rsid w:val="00A60F5C"/>
    <w:rsid w:val="00A62897"/>
    <w:rsid w:val="00A65534"/>
    <w:rsid w:val="00A658DE"/>
    <w:rsid w:val="00A70D58"/>
    <w:rsid w:val="00A753AC"/>
    <w:rsid w:val="00A875D9"/>
    <w:rsid w:val="00AA665C"/>
    <w:rsid w:val="00AA6ADC"/>
    <w:rsid w:val="00AB0F73"/>
    <w:rsid w:val="00AB1857"/>
    <w:rsid w:val="00AB435E"/>
    <w:rsid w:val="00AC2D4D"/>
    <w:rsid w:val="00AF11A1"/>
    <w:rsid w:val="00AF2C68"/>
    <w:rsid w:val="00B1272F"/>
    <w:rsid w:val="00B1476B"/>
    <w:rsid w:val="00B14963"/>
    <w:rsid w:val="00B170F2"/>
    <w:rsid w:val="00B17BBA"/>
    <w:rsid w:val="00B370DA"/>
    <w:rsid w:val="00B40B5C"/>
    <w:rsid w:val="00B40CC0"/>
    <w:rsid w:val="00B43018"/>
    <w:rsid w:val="00B53FD2"/>
    <w:rsid w:val="00B601B9"/>
    <w:rsid w:val="00B718D2"/>
    <w:rsid w:val="00B74B54"/>
    <w:rsid w:val="00B85146"/>
    <w:rsid w:val="00B936FD"/>
    <w:rsid w:val="00BA3152"/>
    <w:rsid w:val="00BB0287"/>
    <w:rsid w:val="00BB6821"/>
    <w:rsid w:val="00BC1A59"/>
    <w:rsid w:val="00BC4021"/>
    <w:rsid w:val="00BC5BAF"/>
    <w:rsid w:val="00BD4301"/>
    <w:rsid w:val="00BE2619"/>
    <w:rsid w:val="00C110F3"/>
    <w:rsid w:val="00C260AC"/>
    <w:rsid w:val="00C314D2"/>
    <w:rsid w:val="00C33B63"/>
    <w:rsid w:val="00C4752C"/>
    <w:rsid w:val="00C668D1"/>
    <w:rsid w:val="00C70DE7"/>
    <w:rsid w:val="00C70FF9"/>
    <w:rsid w:val="00C80E48"/>
    <w:rsid w:val="00C812F3"/>
    <w:rsid w:val="00C93AE0"/>
    <w:rsid w:val="00C957AE"/>
    <w:rsid w:val="00CA389D"/>
    <w:rsid w:val="00CA5E0E"/>
    <w:rsid w:val="00CB32DD"/>
    <w:rsid w:val="00CC0AE7"/>
    <w:rsid w:val="00CC5D48"/>
    <w:rsid w:val="00CD3BE6"/>
    <w:rsid w:val="00CE24D1"/>
    <w:rsid w:val="00CE2C98"/>
    <w:rsid w:val="00CE2D96"/>
    <w:rsid w:val="00CE59AF"/>
    <w:rsid w:val="00CF2003"/>
    <w:rsid w:val="00CF45A2"/>
    <w:rsid w:val="00D03AF1"/>
    <w:rsid w:val="00D23829"/>
    <w:rsid w:val="00D315C1"/>
    <w:rsid w:val="00D427EB"/>
    <w:rsid w:val="00D53C4F"/>
    <w:rsid w:val="00D623A0"/>
    <w:rsid w:val="00D67C7E"/>
    <w:rsid w:val="00D76320"/>
    <w:rsid w:val="00D767DA"/>
    <w:rsid w:val="00D82E8E"/>
    <w:rsid w:val="00D91B4B"/>
    <w:rsid w:val="00D94D9B"/>
    <w:rsid w:val="00DB048F"/>
    <w:rsid w:val="00DB1002"/>
    <w:rsid w:val="00DD2D42"/>
    <w:rsid w:val="00DD79CA"/>
    <w:rsid w:val="00DE78EB"/>
    <w:rsid w:val="00DF6379"/>
    <w:rsid w:val="00E0364F"/>
    <w:rsid w:val="00E34FDB"/>
    <w:rsid w:val="00E35455"/>
    <w:rsid w:val="00E35CC8"/>
    <w:rsid w:val="00E555FF"/>
    <w:rsid w:val="00E56611"/>
    <w:rsid w:val="00E67F5E"/>
    <w:rsid w:val="00E70250"/>
    <w:rsid w:val="00E71F05"/>
    <w:rsid w:val="00E91794"/>
    <w:rsid w:val="00E97A03"/>
    <w:rsid w:val="00EA0158"/>
    <w:rsid w:val="00EC30A3"/>
    <w:rsid w:val="00EE25DF"/>
    <w:rsid w:val="00EE78CB"/>
    <w:rsid w:val="00F016DF"/>
    <w:rsid w:val="00F11C76"/>
    <w:rsid w:val="00F1286B"/>
    <w:rsid w:val="00F148DA"/>
    <w:rsid w:val="00F30A7A"/>
    <w:rsid w:val="00F32EF5"/>
    <w:rsid w:val="00F35FE4"/>
    <w:rsid w:val="00F36B19"/>
    <w:rsid w:val="00F44308"/>
    <w:rsid w:val="00F505FB"/>
    <w:rsid w:val="00F54887"/>
    <w:rsid w:val="00F54C42"/>
    <w:rsid w:val="00F61DE9"/>
    <w:rsid w:val="00F655AD"/>
    <w:rsid w:val="00F75D89"/>
    <w:rsid w:val="00F770AB"/>
    <w:rsid w:val="00FA56DB"/>
    <w:rsid w:val="00FB104F"/>
    <w:rsid w:val="00FB3F6E"/>
    <w:rsid w:val="00FB5182"/>
    <w:rsid w:val="00FB5E58"/>
    <w:rsid w:val="00FB67B1"/>
    <w:rsid w:val="00FC0F8C"/>
    <w:rsid w:val="00FD3D04"/>
    <w:rsid w:val="00FD4CBC"/>
    <w:rsid w:val="00FD7FD9"/>
    <w:rsid w:val="00FF396D"/>
    <w:rsid w:val="00FF3972"/>
    <w:rsid w:val="00FF51D5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6C4"/>
    <w:pPr>
      <w:widowControl w:val="0"/>
    </w:pPr>
    <w:rPr>
      <w:snapToGrid w:val="0"/>
      <w:sz w:val="24"/>
      <w:lang w:val="es-ES_tradnl"/>
    </w:rPr>
  </w:style>
  <w:style w:type="paragraph" w:styleId="Ttulo1">
    <w:name w:val="heading 1"/>
    <w:basedOn w:val="Normal"/>
    <w:next w:val="Normal"/>
    <w:qFormat/>
    <w:rsid w:val="00560E1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60E1C"/>
    <w:pPr>
      <w:keepNext/>
      <w:suppressAutoHyphens/>
      <w:autoSpaceDE w:val="0"/>
      <w:autoSpaceDN w:val="0"/>
      <w:spacing w:after="140" w:line="287" w:lineRule="atLeast"/>
      <w:jc w:val="center"/>
      <w:outlineLvl w:val="1"/>
    </w:pPr>
    <w:rPr>
      <w:rFonts w:ascii="Arrus BT" w:hAnsi="Arrus BT"/>
      <w:snapToGrid/>
      <w:sz w:val="20"/>
      <w:szCs w:val="24"/>
    </w:rPr>
  </w:style>
  <w:style w:type="paragraph" w:styleId="Ttulo3">
    <w:name w:val="heading 3"/>
    <w:basedOn w:val="Normal"/>
    <w:next w:val="Normal"/>
    <w:qFormat/>
    <w:rsid w:val="00560E1C"/>
    <w:pPr>
      <w:keepNext/>
      <w:suppressAutoHyphens/>
      <w:autoSpaceDE w:val="0"/>
      <w:autoSpaceDN w:val="0"/>
      <w:jc w:val="center"/>
      <w:outlineLvl w:val="2"/>
    </w:pPr>
    <w:rPr>
      <w:rFonts w:ascii="Arial" w:hAnsi="Arial" w:cs="Arial"/>
      <w:b/>
      <w:bCs/>
      <w:snapToGrid/>
      <w:szCs w:val="24"/>
    </w:rPr>
  </w:style>
  <w:style w:type="paragraph" w:styleId="Ttulo4">
    <w:name w:val="heading 4"/>
    <w:basedOn w:val="Normal"/>
    <w:next w:val="Normal"/>
    <w:qFormat/>
    <w:rsid w:val="00560E1C"/>
    <w:pPr>
      <w:keepNext/>
      <w:outlineLvl w:val="3"/>
    </w:pPr>
    <w:rPr>
      <w:rFonts w:ascii="Arial" w:hAnsi="Arial" w:cs="Arial"/>
      <w:b/>
      <w:bCs/>
      <w:color w:val="FF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E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0E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0E1C"/>
  </w:style>
  <w:style w:type="paragraph" w:styleId="Textoindependiente">
    <w:name w:val="Body Text"/>
    <w:basedOn w:val="Normal"/>
    <w:rsid w:val="00560E1C"/>
    <w:pPr>
      <w:spacing w:line="288" w:lineRule="auto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560E1C"/>
    <w:pPr>
      <w:spacing w:line="288" w:lineRule="auto"/>
      <w:jc w:val="both"/>
    </w:pPr>
    <w:rPr>
      <w:rFonts w:ascii="Arial" w:hAnsi="Arial" w:cs="Arial"/>
      <w:b/>
      <w:bCs/>
    </w:rPr>
  </w:style>
  <w:style w:type="paragraph" w:styleId="Textoindependiente3">
    <w:name w:val="Body Text 3"/>
    <w:basedOn w:val="Normal"/>
    <w:rsid w:val="00560E1C"/>
    <w:pPr>
      <w:jc w:val="center"/>
    </w:pPr>
  </w:style>
  <w:style w:type="paragraph" w:styleId="Sangradetextonormal">
    <w:name w:val="Body Text Indent"/>
    <w:basedOn w:val="Normal"/>
    <w:rsid w:val="00560E1C"/>
    <w:pPr>
      <w:suppressAutoHyphens/>
      <w:autoSpaceDE w:val="0"/>
      <w:autoSpaceDN w:val="0"/>
      <w:spacing w:after="140" w:line="287" w:lineRule="atLeast"/>
      <w:jc w:val="both"/>
    </w:pPr>
    <w:rPr>
      <w:rFonts w:ascii="Arrus BT" w:hAnsi="Arrus BT"/>
      <w:snapToGrid/>
      <w:sz w:val="20"/>
      <w:szCs w:val="24"/>
    </w:rPr>
  </w:style>
  <w:style w:type="paragraph" w:styleId="Ttulo">
    <w:name w:val="Title"/>
    <w:basedOn w:val="Normal"/>
    <w:qFormat/>
    <w:rsid w:val="00560E1C"/>
    <w:pPr>
      <w:jc w:val="center"/>
    </w:pPr>
    <w:rPr>
      <w:rFonts w:ascii="Arial" w:hAnsi="Arial" w:cs="Arial"/>
      <w:b/>
      <w:bCs/>
      <w:color w:val="000000"/>
      <w:lang w:val="es-ES"/>
    </w:rPr>
  </w:style>
  <w:style w:type="paragraph" w:customStyle="1" w:styleId="Body1">
    <w:name w:val="Body 1"/>
    <w:rsid w:val="00B170F2"/>
    <w:pPr>
      <w:widowControl w:val="0"/>
      <w:outlineLvl w:val="0"/>
    </w:pPr>
    <w:rPr>
      <w:rFonts w:eastAsia="Arial Unicode MS"/>
      <w:color w:val="00000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6C4"/>
    <w:pPr>
      <w:widowControl w:val="0"/>
    </w:pPr>
    <w:rPr>
      <w:snapToGrid w:val="0"/>
      <w:sz w:val="24"/>
      <w:lang w:val="es-ES_tradnl"/>
    </w:rPr>
  </w:style>
  <w:style w:type="paragraph" w:styleId="Ttulo1">
    <w:name w:val="heading 1"/>
    <w:basedOn w:val="Normal"/>
    <w:next w:val="Normal"/>
    <w:qFormat/>
    <w:rsid w:val="00560E1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60E1C"/>
    <w:pPr>
      <w:keepNext/>
      <w:suppressAutoHyphens/>
      <w:autoSpaceDE w:val="0"/>
      <w:autoSpaceDN w:val="0"/>
      <w:spacing w:after="140" w:line="287" w:lineRule="atLeast"/>
      <w:jc w:val="center"/>
      <w:outlineLvl w:val="1"/>
    </w:pPr>
    <w:rPr>
      <w:rFonts w:ascii="Arrus BT" w:hAnsi="Arrus BT"/>
      <w:snapToGrid/>
      <w:sz w:val="20"/>
      <w:szCs w:val="24"/>
    </w:rPr>
  </w:style>
  <w:style w:type="paragraph" w:styleId="Ttulo3">
    <w:name w:val="heading 3"/>
    <w:basedOn w:val="Normal"/>
    <w:next w:val="Normal"/>
    <w:qFormat/>
    <w:rsid w:val="00560E1C"/>
    <w:pPr>
      <w:keepNext/>
      <w:suppressAutoHyphens/>
      <w:autoSpaceDE w:val="0"/>
      <w:autoSpaceDN w:val="0"/>
      <w:jc w:val="center"/>
      <w:outlineLvl w:val="2"/>
    </w:pPr>
    <w:rPr>
      <w:rFonts w:ascii="Arial" w:hAnsi="Arial" w:cs="Arial"/>
      <w:b/>
      <w:bCs/>
      <w:snapToGrid/>
      <w:szCs w:val="24"/>
    </w:rPr>
  </w:style>
  <w:style w:type="paragraph" w:styleId="Ttulo4">
    <w:name w:val="heading 4"/>
    <w:basedOn w:val="Normal"/>
    <w:next w:val="Normal"/>
    <w:qFormat/>
    <w:rsid w:val="00560E1C"/>
    <w:pPr>
      <w:keepNext/>
      <w:outlineLvl w:val="3"/>
    </w:pPr>
    <w:rPr>
      <w:rFonts w:ascii="Arial" w:hAnsi="Arial" w:cs="Arial"/>
      <w:b/>
      <w:bCs/>
      <w:color w:val="FF000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E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0E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0E1C"/>
  </w:style>
  <w:style w:type="paragraph" w:styleId="Textoindependiente">
    <w:name w:val="Body Text"/>
    <w:basedOn w:val="Normal"/>
    <w:rsid w:val="00560E1C"/>
    <w:pPr>
      <w:spacing w:line="288" w:lineRule="auto"/>
      <w:jc w:val="both"/>
    </w:pPr>
    <w:rPr>
      <w:rFonts w:ascii="Arial" w:hAnsi="Arial" w:cs="Arial"/>
    </w:rPr>
  </w:style>
  <w:style w:type="paragraph" w:styleId="Textoindependiente2">
    <w:name w:val="Body Text 2"/>
    <w:basedOn w:val="Normal"/>
    <w:rsid w:val="00560E1C"/>
    <w:pPr>
      <w:spacing w:line="288" w:lineRule="auto"/>
      <w:jc w:val="both"/>
    </w:pPr>
    <w:rPr>
      <w:rFonts w:ascii="Arial" w:hAnsi="Arial" w:cs="Arial"/>
      <w:b/>
      <w:bCs/>
    </w:rPr>
  </w:style>
  <w:style w:type="paragraph" w:styleId="Textoindependiente3">
    <w:name w:val="Body Text 3"/>
    <w:basedOn w:val="Normal"/>
    <w:rsid w:val="00560E1C"/>
    <w:pPr>
      <w:jc w:val="center"/>
    </w:pPr>
  </w:style>
  <w:style w:type="paragraph" w:styleId="Sangradetextonormal">
    <w:name w:val="Body Text Indent"/>
    <w:basedOn w:val="Normal"/>
    <w:rsid w:val="00560E1C"/>
    <w:pPr>
      <w:suppressAutoHyphens/>
      <w:autoSpaceDE w:val="0"/>
      <w:autoSpaceDN w:val="0"/>
      <w:spacing w:after="140" w:line="287" w:lineRule="atLeast"/>
      <w:jc w:val="both"/>
    </w:pPr>
    <w:rPr>
      <w:rFonts w:ascii="Arrus BT" w:hAnsi="Arrus BT"/>
      <w:snapToGrid/>
      <w:sz w:val="20"/>
      <w:szCs w:val="24"/>
    </w:rPr>
  </w:style>
  <w:style w:type="paragraph" w:styleId="Ttulo">
    <w:name w:val="Title"/>
    <w:basedOn w:val="Normal"/>
    <w:qFormat/>
    <w:rsid w:val="00560E1C"/>
    <w:pPr>
      <w:jc w:val="center"/>
    </w:pPr>
    <w:rPr>
      <w:rFonts w:ascii="Arial" w:hAnsi="Arial" w:cs="Arial"/>
      <w:b/>
      <w:bCs/>
      <w:color w:val="000000"/>
      <w:lang w:val="es-ES"/>
    </w:rPr>
  </w:style>
  <w:style w:type="paragraph" w:customStyle="1" w:styleId="Body1">
    <w:name w:val="Body 1"/>
    <w:rsid w:val="00B170F2"/>
    <w:pPr>
      <w:widowControl w:val="0"/>
      <w:outlineLvl w:val="0"/>
    </w:pPr>
    <w:rPr>
      <w:rFonts w:eastAsia="Arial Unicode MS"/>
      <w:color w:val="00000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B019D-9BB7-443B-82E6-E6066932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SINIESTRALIDAD REGISTRADA EN LA CAMPAÑA 2001, CONVIERTEN EL EJERCICIO EN EL SEGUNDO PEOR DE LA SERIE DEL SEGURO AGRARIO COM</vt:lpstr>
    </vt:vector>
  </TitlesOfParts>
  <Company>Agroseguro, S.A.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SINIESTRALIDAD REGISTRADA EN LA CAMPAÑA 2001, CONVIERTEN EL EJERCICIO EN EL SEGUNDO PEOR DE LA SERIE DEL SEGURO AGRARIO COM</dc:title>
  <dc:creator>Defecto</dc:creator>
  <cp:lastModifiedBy>celia</cp:lastModifiedBy>
  <cp:revision>2</cp:revision>
  <cp:lastPrinted>2014-12-16T09:13:00Z</cp:lastPrinted>
  <dcterms:created xsi:type="dcterms:W3CDTF">2014-12-16T16:04:00Z</dcterms:created>
  <dcterms:modified xsi:type="dcterms:W3CDTF">2014-12-16T16:04:00Z</dcterms:modified>
</cp:coreProperties>
</file>