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7F" w:rsidRDefault="00246B17" w:rsidP="004A07EE">
      <w:r w:rsidRPr="00246B17">
        <w:rPr>
          <w:noProof/>
        </w:rPr>
        <w:pict>
          <v:line id="_x0000_s1033" style="position:absolute;flip:y;z-index:251659264" from="-1in,18pt" to="495pt,18pt" wrapcoords="0 0 0 3 795 3 795 0 0 0" strokecolor="green" strokeweight="3pt">
            <v:stroke linestyle="thinThin"/>
            <w10:wrap type="through"/>
          </v:line>
        </w:pict>
      </w:r>
      <w:r w:rsidR="00032DB3">
        <w:rPr>
          <w:b/>
          <w:noProof/>
          <w:sz w:val="52"/>
          <w:szCs w:val="52"/>
        </w:rPr>
        <w:drawing>
          <wp:anchor distT="0" distB="0" distL="114300" distR="114300" simplePos="0" relativeHeight="251656192" behindDoc="1" locked="0" layoutInCell="1" allowOverlap="1">
            <wp:simplePos x="0" y="0"/>
            <wp:positionH relativeFrom="column">
              <wp:posOffset>-398780</wp:posOffset>
            </wp:positionH>
            <wp:positionV relativeFrom="paragraph">
              <wp:posOffset>-622300</wp:posOffset>
            </wp:positionV>
            <wp:extent cx="627380" cy="736600"/>
            <wp:effectExtent l="19050" t="0" r="1270" b="0"/>
            <wp:wrapTight wrapText="bothSides">
              <wp:wrapPolygon edited="0">
                <wp:start x="-656" y="0"/>
                <wp:lineTo x="-656" y="21228"/>
                <wp:lineTo x="21644" y="21228"/>
                <wp:lineTo x="21644" y="0"/>
                <wp:lineTo x="-656" y="0"/>
              </wp:wrapPolygon>
            </wp:wrapTight>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cstate="print"/>
                    <a:srcRect/>
                    <a:stretch>
                      <a:fillRect/>
                    </a:stretch>
                  </pic:blipFill>
                  <pic:spPr bwMode="auto">
                    <a:xfrm>
                      <a:off x="0" y="0"/>
                      <a:ext cx="627380" cy="736600"/>
                    </a:xfrm>
                    <a:prstGeom prst="rect">
                      <a:avLst/>
                    </a:prstGeom>
                    <a:noFill/>
                    <a:ln w="9525">
                      <a:noFill/>
                      <a:miter lim="800000"/>
                      <a:headEnd/>
                      <a:tailEnd/>
                    </a:ln>
                  </pic:spPr>
                </pic:pic>
              </a:graphicData>
            </a:graphic>
          </wp:anchor>
        </w:drawing>
      </w:r>
      <w:r w:rsidRPr="00246B17">
        <w:rPr>
          <w:noProof/>
        </w:rPr>
        <w:pict>
          <v:shapetype id="_x0000_t202" coordsize="21600,21600" o:spt="202" path="m,l,21600r21600,l21600,xe">
            <v:stroke joinstyle="miter"/>
            <v:path gradientshapeok="t" o:connecttype="rect"/>
          </v:shapetype>
          <v:shape id="_x0000_s1030" type="#_x0000_t202" style="position:absolute;margin-left:306pt;margin-top:-45pt;width:189pt;height:54pt;z-index:-251658240;mso-position-horizontal-relative:text;mso-position-vertical-relative:text" wrapcoords="-100 0 -100 21380 21600 21380 21600 0 -100 0" stroked="f">
            <v:textbox style="mso-next-textbox:#_x0000_s1030">
              <w:txbxContent>
                <w:p w:rsidR="00116BBD" w:rsidRPr="004072DD" w:rsidRDefault="00116BBD" w:rsidP="00116BBD">
                  <w:pPr>
                    <w:rPr>
                      <w:i/>
                      <w:sz w:val="20"/>
                      <w:szCs w:val="20"/>
                    </w:rPr>
                  </w:pPr>
                  <w:r w:rsidRPr="004072DD">
                    <w:rPr>
                      <w:i/>
                      <w:sz w:val="20"/>
                      <w:szCs w:val="20"/>
                    </w:rPr>
                    <w:t>Pº Salamanca, nº 1 Bajo – 24009 LEÓN</w:t>
                  </w:r>
                </w:p>
                <w:p w:rsidR="00116BBD" w:rsidRPr="004072DD" w:rsidRDefault="00116BBD" w:rsidP="00116BBD">
                  <w:pPr>
                    <w:rPr>
                      <w:i/>
                      <w:sz w:val="20"/>
                      <w:szCs w:val="20"/>
                    </w:rPr>
                  </w:pPr>
                  <w:proofErr w:type="spellStart"/>
                  <w:r w:rsidRPr="004072DD">
                    <w:rPr>
                      <w:i/>
                      <w:sz w:val="20"/>
                      <w:szCs w:val="20"/>
                    </w:rPr>
                    <w:t>Telf</w:t>
                  </w:r>
                  <w:proofErr w:type="spellEnd"/>
                  <w:r w:rsidRPr="004072DD">
                    <w:rPr>
                      <w:i/>
                      <w:sz w:val="20"/>
                      <w:szCs w:val="20"/>
                    </w:rPr>
                    <w:t>: 987 24 52 31 Fax: 987 87 60 12</w:t>
                  </w:r>
                </w:p>
                <w:p w:rsidR="00116BBD" w:rsidRPr="004072DD" w:rsidRDefault="00246B17" w:rsidP="00116BBD">
                  <w:pPr>
                    <w:rPr>
                      <w:i/>
                      <w:sz w:val="20"/>
                      <w:szCs w:val="20"/>
                    </w:rPr>
                  </w:pPr>
                  <w:hyperlink r:id="rId5" w:history="1">
                    <w:r w:rsidR="00116BBD" w:rsidRPr="004072DD">
                      <w:rPr>
                        <w:rStyle w:val="Hipervnculo"/>
                        <w:i/>
                        <w:sz w:val="20"/>
                        <w:szCs w:val="20"/>
                      </w:rPr>
                      <w:t>asaja@asajaleon.com</w:t>
                    </w:r>
                  </w:hyperlink>
                </w:p>
                <w:p w:rsidR="00116BBD" w:rsidRPr="004072DD" w:rsidRDefault="00116BBD" w:rsidP="00116BBD">
                  <w:pPr>
                    <w:rPr>
                      <w:i/>
                      <w:sz w:val="20"/>
                      <w:szCs w:val="20"/>
                    </w:rPr>
                  </w:pPr>
                  <w:r w:rsidRPr="004072DD">
                    <w:rPr>
                      <w:i/>
                      <w:sz w:val="20"/>
                      <w:szCs w:val="20"/>
                    </w:rPr>
                    <w:t>www.asajaleon.com</w:t>
                  </w:r>
                </w:p>
                <w:p w:rsidR="00116BBD" w:rsidRPr="00116BBD" w:rsidRDefault="00116BBD" w:rsidP="00116BBD">
                  <w:pPr>
                    <w:jc w:val="center"/>
                    <w:rPr>
                      <w:b/>
                      <w:sz w:val="20"/>
                      <w:szCs w:val="20"/>
                    </w:rPr>
                  </w:pPr>
                </w:p>
              </w:txbxContent>
            </v:textbox>
            <w10:wrap type="tight"/>
          </v:shape>
        </w:pict>
      </w:r>
      <w:r w:rsidRPr="00246B17">
        <w:rPr>
          <w:noProof/>
        </w:rPr>
        <w:pict>
          <v:shape id="_x0000_s1029" type="#_x0000_t202" style="position:absolute;margin-left:18pt;margin-top:-54pt;width:117pt;height:73.3pt;z-index:-251659264;mso-position-horizontal-relative:text;mso-position-vertical-relative:text" wrapcoords="-100 0 -100 21380 21600 21380 21600 0 -100 0" stroked="f">
            <v:textbox style="mso-next-textbox:#_x0000_s1029">
              <w:txbxContent>
                <w:p w:rsidR="00116BBD" w:rsidRPr="001218AF" w:rsidRDefault="00116BBD" w:rsidP="00116BBD">
                  <w:pPr>
                    <w:jc w:val="center"/>
                    <w:rPr>
                      <w:b/>
                      <w:color w:val="006600"/>
                      <w:sz w:val="60"/>
                      <w:szCs w:val="60"/>
                    </w:rPr>
                  </w:pPr>
                  <w:r w:rsidRPr="001218AF">
                    <w:rPr>
                      <w:b/>
                      <w:color w:val="006600"/>
                      <w:sz w:val="60"/>
                      <w:szCs w:val="60"/>
                    </w:rPr>
                    <w:t>ASAJA</w:t>
                  </w:r>
                </w:p>
                <w:p w:rsidR="00116BBD" w:rsidRPr="00116BBD" w:rsidRDefault="00116BBD" w:rsidP="00116BBD">
                  <w:pPr>
                    <w:jc w:val="center"/>
                    <w:rPr>
                      <w:b/>
                      <w:sz w:val="20"/>
                      <w:szCs w:val="20"/>
                    </w:rPr>
                  </w:pPr>
                  <w:r w:rsidRPr="00116BBD">
                    <w:rPr>
                      <w:b/>
                      <w:sz w:val="20"/>
                      <w:szCs w:val="20"/>
                    </w:rPr>
                    <w:t>Asociación Agraria</w:t>
                  </w:r>
                </w:p>
                <w:p w:rsidR="00116BBD" w:rsidRPr="00116BBD" w:rsidRDefault="00116BBD" w:rsidP="00116BBD">
                  <w:pPr>
                    <w:jc w:val="center"/>
                    <w:rPr>
                      <w:b/>
                      <w:sz w:val="20"/>
                      <w:szCs w:val="20"/>
                    </w:rPr>
                  </w:pPr>
                  <w:r w:rsidRPr="00116BBD">
                    <w:rPr>
                      <w:b/>
                      <w:sz w:val="20"/>
                      <w:szCs w:val="20"/>
                    </w:rPr>
                    <w:t>Jóvenes Agricultores</w:t>
                  </w:r>
                </w:p>
              </w:txbxContent>
            </v:textbox>
            <w10:wrap type="tight"/>
          </v:shape>
        </w:pict>
      </w:r>
      <w:r w:rsidR="00116BBD">
        <w:tab/>
      </w:r>
    </w:p>
    <w:p w:rsidR="004A07EE" w:rsidRDefault="004A07EE" w:rsidP="002866DD">
      <w:pPr>
        <w:tabs>
          <w:tab w:val="left" w:pos="1170"/>
        </w:tabs>
        <w:jc w:val="right"/>
        <w:rPr>
          <w:rFonts w:ascii="Arial" w:hAnsi="Arial" w:cs="Arial"/>
        </w:rPr>
      </w:pPr>
    </w:p>
    <w:p w:rsidR="004A07EE" w:rsidRDefault="004A07EE" w:rsidP="002866DD">
      <w:pPr>
        <w:tabs>
          <w:tab w:val="left" w:pos="1170"/>
        </w:tabs>
        <w:jc w:val="right"/>
        <w:rPr>
          <w:rFonts w:ascii="Arial" w:hAnsi="Arial" w:cs="Arial"/>
        </w:rPr>
      </w:pPr>
    </w:p>
    <w:p w:rsidR="001C0375" w:rsidRPr="004A07EE" w:rsidRDefault="002866DD" w:rsidP="002866DD">
      <w:pPr>
        <w:tabs>
          <w:tab w:val="left" w:pos="1170"/>
        </w:tabs>
        <w:jc w:val="right"/>
        <w:rPr>
          <w:rFonts w:ascii="Arial" w:hAnsi="Arial" w:cs="Arial"/>
        </w:rPr>
      </w:pPr>
      <w:r w:rsidRPr="004A07EE">
        <w:rPr>
          <w:rFonts w:ascii="Arial" w:hAnsi="Arial" w:cs="Arial"/>
        </w:rPr>
        <w:t>Comunicado de prensa</w:t>
      </w:r>
    </w:p>
    <w:p w:rsidR="002866DD" w:rsidRPr="007473BD" w:rsidRDefault="002866DD" w:rsidP="00116BBD">
      <w:pPr>
        <w:tabs>
          <w:tab w:val="left" w:pos="1170"/>
        </w:tabs>
        <w:rPr>
          <w:b/>
        </w:rPr>
      </w:pPr>
    </w:p>
    <w:p w:rsidR="007473BD" w:rsidRPr="00A525C2" w:rsidRDefault="007473BD" w:rsidP="00A525C2">
      <w:pPr>
        <w:tabs>
          <w:tab w:val="left" w:pos="1170"/>
        </w:tabs>
        <w:jc w:val="center"/>
        <w:rPr>
          <w:rFonts w:ascii="Arial" w:hAnsi="Arial" w:cs="Arial"/>
          <w:b/>
          <w:sz w:val="28"/>
          <w:szCs w:val="28"/>
        </w:rPr>
      </w:pPr>
      <w:r w:rsidRPr="00A525C2">
        <w:rPr>
          <w:rFonts w:ascii="Arial" w:hAnsi="Arial" w:cs="Arial"/>
          <w:b/>
          <w:sz w:val="28"/>
          <w:szCs w:val="28"/>
        </w:rPr>
        <w:t>ASAJA RECUEDA LA OBLIGACIÓN DE FORMALIZAR CONTRATOS EN LAS COMPRAVENTAS DE FRUTA Y UVA</w:t>
      </w:r>
    </w:p>
    <w:p w:rsidR="007473BD" w:rsidRPr="007473BD" w:rsidRDefault="007473BD" w:rsidP="007473BD">
      <w:pPr>
        <w:tabs>
          <w:tab w:val="left" w:pos="1170"/>
        </w:tabs>
        <w:jc w:val="both"/>
        <w:rPr>
          <w:rFonts w:ascii="Arial" w:hAnsi="Arial" w:cs="Arial"/>
          <w:sz w:val="28"/>
          <w:szCs w:val="28"/>
        </w:rPr>
      </w:pPr>
    </w:p>
    <w:p w:rsidR="001C0375" w:rsidRPr="007473BD" w:rsidRDefault="001C0375" w:rsidP="007473BD">
      <w:pPr>
        <w:tabs>
          <w:tab w:val="left" w:pos="1170"/>
        </w:tabs>
        <w:jc w:val="both"/>
        <w:rPr>
          <w:rFonts w:ascii="Arial" w:hAnsi="Arial" w:cs="Arial"/>
          <w:sz w:val="28"/>
          <w:szCs w:val="28"/>
        </w:rPr>
      </w:pPr>
      <w:r w:rsidRPr="007473BD">
        <w:rPr>
          <w:rFonts w:ascii="Arial" w:hAnsi="Arial" w:cs="Arial"/>
          <w:sz w:val="28"/>
          <w:szCs w:val="28"/>
        </w:rPr>
        <w:t>Una vez comenzada la campaña de recolección de fruta y uva en el Bierzo, y previo al inicio de la vendimia en la otra denominación de la provincia, la de Tierra de León, ASAJA recuerda la obligación de formalizar contratos de compraventa entre agricultores y bodegas o almacenes, previos a la entrega de la uva o la fruta. Así lo establece la Ley 12/2013 de medidas para mejorar el funcionamiento de la cadena alimentaria, que obliga a los operadores a tener contratos firmados para ventas superiores a los 2.500 euros de valor, figurando en dichos contratos un precio determinable o determi</w:t>
      </w:r>
      <w:r w:rsidR="004A07EE">
        <w:rPr>
          <w:rFonts w:ascii="Arial" w:hAnsi="Arial" w:cs="Arial"/>
          <w:sz w:val="28"/>
          <w:szCs w:val="28"/>
        </w:rPr>
        <w:t>nado. Además, se han de respetar</w:t>
      </w:r>
      <w:r w:rsidRPr="007473BD">
        <w:rPr>
          <w:rFonts w:ascii="Arial" w:hAnsi="Arial" w:cs="Arial"/>
          <w:sz w:val="28"/>
          <w:szCs w:val="28"/>
        </w:rPr>
        <w:t xml:space="preserve"> en los pagos los plazos establecidos en la Ley 3/2014 de medidas de lucha contra la morosidad, que fija el palazo en 30 días</w:t>
      </w:r>
      <w:r w:rsidR="004A07EE">
        <w:rPr>
          <w:rFonts w:ascii="Arial" w:hAnsi="Arial" w:cs="Arial"/>
          <w:sz w:val="28"/>
          <w:szCs w:val="28"/>
        </w:rPr>
        <w:t>,</w:t>
      </w:r>
      <w:r w:rsidRPr="007473BD">
        <w:rPr>
          <w:rFonts w:ascii="Arial" w:hAnsi="Arial" w:cs="Arial"/>
          <w:sz w:val="28"/>
          <w:szCs w:val="28"/>
        </w:rPr>
        <w:t xml:space="preserve"> ampliable a 60 de mutuo acuerdo de las partes.</w:t>
      </w:r>
    </w:p>
    <w:p w:rsidR="001C0375" w:rsidRPr="007473BD" w:rsidRDefault="001C0375" w:rsidP="007473BD">
      <w:pPr>
        <w:tabs>
          <w:tab w:val="left" w:pos="1170"/>
        </w:tabs>
        <w:jc w:val="both"/>
        <w:rPr>
          <w:rFonts w:ascii="Arial" w:hAnsi="Arial" w:cs="Arial"/>
          <w:sz w:val="28"/>
          <w:szCs w:val="28"/>
        </w:rPr>
      </w:pPr>
    </w:p>
    <w:p w:rsidR="001C0375" w:rsidRPr="007473BD" w:rsidRDefault="001C0375" w:rsidP="007473BD">
      <w:pPr>
        <w:tabs>
          <w:tab w:val="left" w:pos="1170"/>
        </w:tabs>
        <w:jc w:val="both"/>
        <w:rPr>
          <w:rFonts w:ascii="Arial" w:hAnsi="Arial" w:cs="Arial"/>
          <w:sz w:val="28"/>
          <w:szCs w:val="28"/>
        </w:rPr>
      </w:pPr>
      <w:r w:rsidRPr="007473BD">
        <w:rPr>
          <w:rFonts w:ascii="Arial" w:hAnsi="Arial" w:cs="Arial"/>
          <w:sz w:val="28"/>
          <w:szCs w:val="28"/>
        </w:rPr>
        <w:t>Las ventas de estos productos agrarios sin contrato son sancionables conforme establece la Ley, y la infracción que se derive recaerá sobre la parte que no actúe como productor primario, es decir, en este caso sobre la bodega o almacén de fruta. Si bien la Ley no obliga a la formalización de contratos a las cooperativas en la relación con sus socios, sí las obliga en la relación, si es el caso, con otros agricultores no socios.</w:t>
      </w:r>
    </w:p>
    <w:p w:rsidR="001C0375" w:rsidRPr="007473BD" w:rsidRDefault="001C0375" w:rsidP="007473BD">
      <w:pPr>
        <w:tabs>
          <w:tab w:val="left" w:pos="1170"/>
        </w:tabs>
        <w:jc w:val="both"/>
        <w:rPr>
          <w:rFonts w:ascii="Arial" w:hAnsi="Arial" w:cs="Arial"/>
          <w:sz w:val="28"/>
          <w:szCs w:val="28"/>
        </w:rPr>
      </w:pPr>
    </w:p>
    <w:p w:rsidR="001C0375" w:rsidRPr="007473BD" w:rsidRDefault="001C0375" w:rsidP="007473BD">
      <w:pPr>
        <w:tabs>
          <w:tab w:val="left" w:pos="1170"/>
        </w:tabs>
        <w:jc w:val="both"/>
        <w:rPr>
          <w:rFonts w:ascii="Arial" w:hAnsi="Arial" w:cs="Arial"/>
          <w:sz w:val="28"/>
          <w:szCs w:val="28"/>
        </w:rPr>
      </w:pPr>
      <w:r w:rsidRPr="007473BD">
        <w:rPr>
          <w:rFonts w:ascii="Arial" w:hAnsi="Arial" w:cs="Arial"/>
          <w:sz w:val="28"/>
          <w:szCs w:val="28"/>
        </w:rPr>
        <w:t>ASAJA considera que esta medida de exigir contratos y controlar las fechas de pago en estos productos alimentarios es positiva, y que con el tiempo debería de generalizarse a todos los productos del campo y la ganadería. El papel de la Agencia de Información y Controla Alimentarios (AICA), que ya efectuó el pasado año controles de oficio en el Bierzo, es determinante para que se aplique una ley pionera en Europa que no pretende otra cosa que la transparencia en una</w:t>
      </w:r>
      <w:r w:rsidR="004A07EE">
        <w:rPr>
          <w:rFonts w:ascii="Arial" w:hAnsi="Arial" w:cs="Arial"/>
          <w:sz w:val="28"/>
          <w:szCs w:val="28"/>
        </w:rPr>
        <w:t>s</w:t>
      </w:r>
      <w:r w:rsidRPr="007473BD">
        <w:rPr>
          <w:rFonts w:ascii="Arial" w:hAnsi="Arial" w:cs="Arial"/>
          <w:sz w:val="28"/>
          <w:szCs w:val="28"/>
        </w:rPr>
        <w:t xml:space="preserve"> relaciones comerciales donde el sector primario es la parte más débil de la cadena.</w:t>
      </w:r>
    </w:p>
    <w:p w:rsidR="007473BD" w:rsidRDefault="007473BD" w:rsidP="007473BD">
      <w:pPr>
        <w:tabs>
          <w:tab w:val="left" w:pos="1170"/>
        </w:tabs>
        <w:jc w:val="both"/>
        <w:rPr>
          <w:rFonts w:ascii="Arial" w:hAnsi="Arial" w:cs="Arial"/>
          <w:sz w:val="28"/>
          <w:szCs w:val="28"/>
        </w:rPr>
      </w:pPr>
    </w:p>
    <w:p w:rsidR="001C0375" w:rsidRPr="007473BD" w:rsidRDefault="001C0375" w:rsidP="007473BD">
      <w:pPr>
        <w:tabs>
          <w:tab w:val="left" w:pos="1170"/>
        </w:tabs>
        <w:jc w:val="both"/>
        <w:rPr>
          <w:rFonts w:ascii="Arial" w:hAnsi="Arial" w:cs="Arial"/>
          <w:sz w:val="28"/>
          <w:szCs w:val="28"/>
        </w:rPr>
      </w:pPr>
      <w:r w:rsidRPr="007473BD">
        <w:rPr>
          <w:rFonts w:ascii="Arial" w:hAnsi="Arial" w:cs="Arial"/>
          <w:sz w:val="28"/>
          <w:szCs w:val="28"/>
        </w:rPr>
        <w:t xml:space="preserve">Ponferrada, </w:t>
      </w:r>
      <w:r w:rsidR="007473BD" w:rsidRPr="007473BD">
        <w:rPr>
          <w:rFonts w:ascii="Arial" w:hAnsi="Arial" w:cs="Arial"/>
          <w:sz w:val="28"/>
          <w:szCs w:val="28"/>
        </w:rPr>
        <w:t>6 de septiembre de 2016.</w:t>
      </w:r>
    </w:p>
    <w:p w:rsidR="007473BD" w:rsidRPr="00116BBD" w:rsidRDefault="007473BD" w:rsidP="00116BBD">
      <w:pPr>
        <w:tabs>
          <w:tab w:val="left" w:pos="1170"/>
        </w:tabs>
      </w:pPr>
    </w:p>
    <w:sectPr w:rsidR="007473BD" w:rsidRPr="00116BBD" w:rsidSect="009810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compat/>
  <w:rsids>
    <w:rsidRoot w:val="001C0375"/>
    <w:rsid w:val="00032DB3"/>
    <w:rsid w:val="00116BBD"/>
    <w:rsid w:val="001218AF"/>
    <w:rsid w:val="00177F54"/>
    <w:rsid w:val="00185DC9"/>
    <w:rsid w:val="001C0375"/>
    <w:rsid w:val="00246B17"/>
    <w:rsid w:val="002866DD"/>
    <w:rsid w:val="002E317F"/>
    <w:rsid w:val="004072DD"/>
    <w:rsid w:val="004A07EE"/>
    <w:rsid w:val="005C5159"/>
    <w:rsid w:val="0064568B"/>
    <w:rsid w:val="00684EDF"/>
    <w:rsid w:val="007473BD"/>
    <w:rsid w:val="0084790C"/>
    <w:rsid w:val="009036AC"/>
    <w:rsid w:val="00981061"/>
    <w:rsid w:val="00A26566"/>
    <w:rsid w:val="00A410B5"/>
    <w:rsid w:val="00A525C2"/>
    <w:rsid w:val="00C102EF"/>
    <w:rsid w:val="00D63A76"/>
    <w:rsid w:val="00E76B49"/>
    <w:rsid w:val="00F82A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6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16BBD"/>
    <w:rPr>
      <w:color w:val="0000FF"/>
      <w:u w:val="single"/>
    </w:rPr>
  </w:style>
  <w:style w:type="paragraph" w:styleId="Textodeglobo">
    <w:name w:val="Balloon Text"/>
    <w:basedOn w:val="Normal"/>
    <w:semiHidden/>
    <w:rsid w:val="00903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aja@asajaleon.com"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JA_MEDION_7_2015\AppData\Roaming\Microsoft\Plantillas\PLANTILLA_ASA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PLANTILLA_ASAJA</Template>
  <TotalTime>3</TotalTime>
  <Pages>1</Pages>
  <Words>298</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1940</CharactersWithSpaces>
  <SharedDoc>false</SharedDoc>
  <HLinks>
    <vt:vector size="6" baseType="variant">
      <vt:variant>
        <vt:i4>6750280</vt:i4>
      </vt:variant>
      <vt:variant>
        <vt:i4>0</vt:i4>
      </vt:variant>
      <vt:variant>
        <vt:i4>0</vt:i4>
      </vt:variant>
      <vt:variant>
        <vt:i4>5</vt:i4>
      </vt:variant>
      <vt:variant>
        <vt:lpwstr>mailto:asaja@asajaleon.com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ASAJA_MEDION_7_2015</dc:creator>
  <cp:lastModifiedBy>ASAJA_MEDION_7_2015</cp:lastModifiedBy>
  <cp:revision>2</cp:revision>
  <cp:lastPrinted>2011-07-28T10:42:00Z</cp:lastPrinted>
  <dcterms:created xsi:type="dcterms:W3CDTF">2016-09-06T08:50:00Z</dcterms:created>
  <dcterms:modified xsi:type="dcterms:W3CDTF">2016-09-06T08:50:00Z</dcterms:modified>
</cp:coreProperties>
</file>