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0F" w:rsidRPr="00222A12" w:rsidRDefault="00CB1B0F" w:rsidP="00CB1B0F">
      <w:pPr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</w:rPr>
      </w:pPr>
      <w:r w:rsidRPr="00222A12">
        <w:rPr>
          <w:rFonts w:asciiTheme="minorHAnsi" w:hAnsiTheme="minorHAnsi" w:cs="Arial"/>
          <w:b/>
          <w:bCs/>
          <w:color w:val="222222"/>
          <w:sz w:val="28"/>
          <w:szCs w:val="28"/>
        </w:rPr>
        <w:t>Unión de Uniones de Castilla-La Mancha lamenta que Castilla-La Mancha pierda peso en el Plan Nacional de Apoyo Vitivinícola</w:t>
      </w:r>
    </w:p>
    <w:p w:rsidR="00CB1B0F" w:rsidRDefault="00CB1B0F" w:rsidP="00CB1B0F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222A12" w:rsidRPr="00A4567C" w:rsidRDefault="00222A12" w:rsidP="00CB1B0F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4567C">
        <w:rPr>
          <w:rFonts w:asciiTheme="minorHAnsi" w:hAnsiTheme="minorHAnsi" w:cs="Arial"/>
          <w:b/>
          <w:color w:val="222222"/>
        </w:rPr>
        <w:t>La región aporta la mitad de la superfic</w:t>
      </w:r>
      <w:r w:rsidR="00A4567C">
        <w:rPr>
          <w:rFonts w:asciiTheme="minorHAnsi" w:hAnsiTheme="minorHAnsi" w:cs="Arial"/>
          <w:b/>
          <w:color w:val="222222"/>
        </w:rPr>
        <w:t>ie y la producción nacional y só</w:t>
      </w:r>
      <w:r w:rsidRPr="00A4567C">
        <w:rPr>
          <w:rFonts w:asciiTheme="minorHAnsi" w:hAnsiTheme="minorHAnsi" w:cs="Arial"/>
          <w:b/>
          <w:color w:val="222222"/>
        </w:rPr>
        <w:t>lo absorbe el 37 % de los fondos</w:t>
      </w:r>
    </w:p>
    <w:p w:rsidR="00222A12" w:rsidRPr="00A4567C" w:rsidRDefault="00222A12" w:rsidP="00CB1B0F">
      <w:pPr>
        <w:shd w:val="clear" w:color="auto" w:fill="FFFFFF"/>
        <w:rPr>
          <w:rFonts w:asciiTheme="minorHAnsi" w:hAnsiTheme="minorHAnsi" w:cs="Arial"/>
          <w:b/>
          <w:color w:val="222222"/>
        </w:rPr>
      </w:pPr>
    </w:p>
    <w:p w:rsidR="00CB1B0F" w:rsidRPr="00A4567C" w:rsidRDefault="00CB1B0F" w:rsidP="00CB1B0F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4567C">
        <w:rPr>
          <w:rFonts w:asciiTheme="minorHAnsi" w:hAnsiTheme="minorHAnsi" w:cs="Arial"/>
          <w:b/>
          <w:bCs/>
          <w:color w:val="222222"/>
        </w:rPr>
        <w:t>El FEGA realiza pagos de 78,5 millones de euros al sector vitivinícola de Castilla-La Mancha en 2015</w:t>
      </w:r>
    </w:p>
    <w:p w:rsidR="00CB1B0F" w:rsidRPr="00CB1B0F" w:rsidRDefault="00CB1B0F" w:rsidP="00CB1B0F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CB1B0F" w:rsidRPr="00CB1B0F" w:rsidRDefault="00222A12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bCs/>
          <w:color w:val="222222"/>
        </w:rPr>
        <w:t xml:space="preserve">Toledo, 26 de octubre de 2016.- </w:t>
      </w:r>
      <w:r w:rsidR="00CB1B0F" w:rsidRPr="00CB1B0F">
        <w:rPr>
          <w:rFonts w:asciiTheme="minorHAnsi" w:hAnsiTheme="minorHAnsi" w:cs="Arial"/>
          <w:bCs/>
          <w:color w:val="222222"/>
        </w:rPr>
        <w:t>El FEGA ha realizado hasta el 15 de octubre, fecha en la que se cierra el Plan Nacional de Apoyo Vitivinícola Español (PASVE) 2015, pagos a Castilla-La Mancha por un total de 78,5 millones de euros en los conceptos que incluye dicho plan y que engloban los capítulos de destilación de uso de boca, promoción en países terceros, inversiones y reestructuración de viñedo. Este volumen supone un 15 % menos que el montante del ejercicio 2014, en el que el FEGA abon</w:t>
      </w:r>
      <w:r w:rsidR="00A4567C">
        <w:rPr>
          <w:rFonts w:asciiTheme="minorHAnsi" w:hAnsiTheme="minorHAnsi" w:cs="Arial"/>
          <w:bCs/>
          <w:color w:val="222222"/>
        </w:rPr>
        <w:t>ó</w:t>
      </w:r>
      <w:r w:rsidR="00CB1B0F" w:rsidRPr="00CB1B0F">
        <w:rPr>
          <w:rFonts w:asciiTheme="minorHAnsi" w:hAnsiTheme="minorHAnsi" w:cs="Arial"/>
          <w:bCs/>
          <w:color w:val="222222"/>
        </w:rPr>
        <w:t xml:space="preserve"> a Castilla-La Mancha para financiar dichas medidas 92,4 millones de euros.</w:t>
      </w:r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CB1B0F" w:rsidRPr="00CB1B0F" w:rsidRDefault="00222A12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bCs/>
          <w:color w:val="222222"/>
        </w:rPr>
        <w:t xml:space="preserve">Pese a que </w:t>
      </w:r>
      <w:r w:rsidR="00CB1B0F" w:rsidRPr="00CB1B0F">
        <w:rPr>
          <w:rFonts w:asciiTheme="minorHAnsi" w:hAnsiTheme="minorHAnsi" w:cs="Arial"/>
          <w:bCs/>
          <w:color w:val="222222"/>
        </w:rPr>
        <w:t>Castilla-La Mancha</w:t>
      </w:r>
      <w:r>
        <w:rPr>
          <w:rFonts w:asciiTheme="minorHAnsi" w:hAnsiTheme="minorHAnsi" w:cs="Arial"/>
          <w:bCs/>
          <w:color w:val="222222"/>
        </w:rPr>
        <w:t xml:space="preserve"> participa en aproximadamente la mitad de la superficie de viñedo y la producción nacional del sector, sólo</w:t>
      </w:r>
      <w:r w:rsidR="00CB1B0F" w:rsidRPr="00CB1B0F">
        <w:rPr>
          <w:rFonts w:asciiTheme="minorHAnsi" w:hAnsiTheme="minorHAnsi" w:cs="Arial"/>
          <w:bCs/>
          <w:color w:val="222222"/>
        </w:rPr>
        <w:t xml:space="preserve"> absorbe</w:t>
      </w:r>
      <w:r>
        <w:rPr>
          <w:rFonts w:asciiTheme="minorHAnsi" w:hAnsiTheme="minorHAnsi" w:cs="Arial"/>
          <w:bCs/>
          <w:color w:val="222222"/>
        </w:rPr>
        <w:t xml:space="preserve"> en 2015, según los datos del FEGA, </w:t>
      </w:r>
      <w:r w:rsidR="00CB1B0F" w:rsidRPr="00CB1B0F">
        <w:rPr>
          <w:rFonts w:asciiTheme="minorHAnsi" w:hAnsiTheme="minorHAnsi" w:cs="Arial"/>
          <w:bCs/>
          <w:color w:val="222222"/>
        </w:rPr>
        <w:t>el 37 % del total de los fondos del Plan de Apoyo Vitivinícola de este año, que ha supuesto 212,3 millones de euros, agotando</w:t>
      </w:r>
      <w:r w:rsidR="00A4567C">
        <w:rPr>
          <w:rFonts w:asciiTheme="minorHAnsi" w:hAnsiTheme="minorHAnsi" w:cs="Arial"/>
          <w:bCs/>
          <w:color w:val="222222"/>
        </w:rPr>
        <w:t xml:space="preserve">, a falta quizás de algún ajuste, </w:t>
      </w:r>
      <w:r w:rsidR="00CB1B0F" w:rsidRPr="00CB1B0F">
        <w:rPr>
          <w:rFonts w:asciiTheme="minorHAnsi" w:hAnsiTheme="minorHAnsi" w:cs="Arial"/>
          <w:bCs/>
          <w:color w:val="222222"/>
        </w:rPr>
        <w:t>el total de recursos europe</w:t>
      </w:r>
      <w:r>
        <w:rPr>
          <w:rFonts w:asciiTheme="minorHAnsi" w:hAnsiTheme="minorHAnsi" w:cs="Arial"/>
          <w:bCs/>
          <w:color w:val="222222"/>
        </w:rPr>
        <w:t>o</w:t>
      </w:r>
      <w:r w:rsidR="00CB1B0F" w:rsidRPr="00CB1B0F">
        <w:rPr>
          <w:rFonts w:asciiTheme="minorHAnsi" w:hAnsiTheme="minorHAnsi" w:cs="Arial"/>
          <w:bCs/>
          <w:color w:val="222222"/>
        </w:rPr>
        <w:t>s disponibles para este ejercicio.</w:t>
      </w:r>
      <w:bookmarkStart w:id="0" w:name="_GoBack"/>
      <w:bookmarkEnd w:id="0"/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CB1B0F">
        <w:rPr>
          <w:rFonts w:asciiTheme="minorHAnsi" w:hAnsiTheme="minorHAnsi" w:cs="Arial"/>
          <w:bCs/>
          <w:color w:val="222222"/>
        </w:rPr>
        <w:t>En el caso de Castilla-La Mancha la mayor parte de las transferencias del FEGA se han realizado en los últimos 10 días del ejercicio, entre el 5 y el 15 de octubre, cuando se han trasladado a la caja de la región desde el FEGA 43,7 millones de euros, casi el 56 % del total anual. En el conjunto del Estado igualmente se han acelerado los pagos en este último tramo, habiéndose abonado desde el FEGA a las administraciones autonómicas 90,7 millones de euros.</w:t>
      </w:r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CB1B0F">
        <w:rPr>
          <w:rFonts w:asciiTheme="minorHAnsi" w:hAnsiTheme="minorHAnsi" w:cs="Arial"/>
          <w:bCs/>
          <w:color w:val="222222"/>
        </w:rPr>
        <w:t>La Unión de Uniones de Castilla-La Mancha ya avisó que con los datos que el FEGA hizo públicos a finales de agosto se corría el riesgo de haber perdido fondos comunitarios en 2015, como ya ocurriera</w:t>
      </w:r>
      <w:r w:rsidR="00222A12">
        <w:rPr>
          <w:rFonts w:asciiTheme="minorHAnsi" w:hAnsiTheme="minorHAnsi" w:cs="Arial"/>
          <w:bCs/>
          <w:color w:val="222222"/>
        </w:rPr>
        <w:t xml:space="preserve"> en 2014,</w:t>
      </w:r>
      <w:r w:rsidRPr="00CB1B0F">
        <w:rPr>
          <w:rFonts w:asciiTheme="minorHAnsi" w:hAnsiTheme="minorHAnsi" w:cs="Arial"/>
          <w:bCs/>
          <w:color w:val="222222"/>
        </w:rPr>
        <w:t xml:space="preserve"> por lo que se felicita de que finalmente las Administraciones hayan hecho su trabajo y puedan aprovecharse todos los recursos disponibles para el PASVE de este año.</w:t>
      </w:r>
    </w:p>
    <w:p w:rsidR="00CB1B0F" w:rsidRPr="00CB1B0F" w:rsidRDefault="00CB1B0F" w:rsidP="00A4567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A4567C" w:rsidRDefault="00CB1B0F" w:rsidP="00A4567C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  <w:r w:rsidRPr="00CB1B0F">
        <w:rPr>
          <w:rFonts w:asciiTheme="minorHAnsi" w:hAnsiTheme="minorHAnsi" w:cs="Arial"/>
          <w:bCs/>
          <w:color w:val="222222"/>
        </w:rPr>
        <w:t>No obstante, la organización lamenta la pérdida de peso de nuestra Comunidad Autónoma en el conjunto del PASVE, que ha caído en 2015 al citado 37 %, cuando el pasado año el dinero absorbido por la región supuso el 48 %, cifra mucho más aproximada a la representación de Castilla-La Mancha en el sector vitivinícola en cuanto a superficie y producción.</w:t>
      </w: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A4567C">
      <w:pPr>
        <w:shd w:val="clear" w:color="auto" w:fill="FFFFFF"/>
        <w:jc w:val="right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(Cuadros en página siguiente)</w:t>
      </w:r>
    </w:p>
    <w:p w:rsidR="00A4567C" w:rsidRDefault="00A4567C">
      <w:pPr>
        <w:spacing w:after="200" w:line="276" w:lineRule="auto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br w:type="page"/>
      </w:r>
    </w:p>
    <w:p w:rsidR="00CB1B0F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noProof/>
          <w:color w:val="222222"/>
        </w:rPr>
        <w:lastRenderedPageBreak/>
        <w:drawing>
          <wp:anchor distT="0" distB="0" distL="114300" distR="114300" simplePos="0" relativeHeight="251659264" behindDoc="0" locked="0" layoutInCell="1" allowOverlap="1">
            <wp:simplePos x="542925" y="1533525"/>
            <wp:positionH relativeFrom="margin">
              <wp:align>center</wp:align>
            </wp:positionH>
            <wp:positionV relativeFrom="margin">
              <wp:align>top</wp:align>
            </wp:positionV>
            <wp:extent cx="4680000" cy="41976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os FEGA Vitivinícola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1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</w:p>
    <w:p w:rsidR="00A4567C" w:rsidRDefault="00A4567C" w:rsidP="00222A12">
      <w:pPr>
        <w:shd w:val="clear" w:color="auto" w:fill="FFFFFF"/>
        <w:jc w:val="both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noProof/>
          <w:color w:val="222222"/>
        </w:rPr>
        <w:drawing>
          <wp:anchor distT="0" distB="0" distL="114300" distR="114300" simplePos="0" relativeHeight="251660288" behindDoc="0" locked="0" layoutInCell="1" allowOverlap="1">
            <wp:simplePos x="542925" y="5067300"/>
            <wp:positionH relativeFrom="margin">
              <wp:align>center</wp:align>
            </wp:positionH>
            <wp:positionV relativeFrom="margin">
              <wp:align>bottom</wp:align>
            </wp:positionV>
            <wp:extent cx="4680000" cy="41940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os FEGA Vitivinícola 2014 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1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67C" w:rsidSect="00C35060">
      <w:headerReference w:type="default" r:id="rId10"/>
      <w:pgSz w:w="11906" w:h="16838"/>
      <w:pgMar w:top="170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01" w:rsidRDefault="00085501" w:rsidP="00BD0F3D">
      <w:r>
        <w:separator/>
      </w:r>
    </w:p>
  </w:endnote>
  <w:endnote w:type="continuationSeparator" w:id="0">
    <w:p w:rsidR="00085501" w:rsidRDefault="00085501" w:rsidP="00BD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01" w:rsidRDefault="00085501" w:rsidP="00BD0F3D">
      <w:r>
        <w:separator/>
      </w:r>
    </w:p>
  </w:footnote>
  <w:footnote w:type="continuationSeparator" w:id="0">
    <w:p w:rsidR="00085501" w:rsidRDefault="00085501" w:rsidP="00BD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3D" w:rsidRDefault="003339F2" w:rsidP="0028768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954405</wp:posOffset>
              </wp:positionH>
              <wp:positionV relativeFrom="paragraph">
                <wp:posOffset>-177800</wp:posOffset>
              </wp:positionV>
              <wp:extent cx="5572760" cy="855980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760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3D" w:rsidRPr="003356FE" w:rsidRDefault="00BD0F3D" w:rsidP="0028768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8000"/>
                              <w:sz w:val="28"/>
                              <w:szCs w:val="28"/>
                            </w:rPr>
                          </w:pPr>
                          <w:r w:rsidRPr="003356FE">
                            <w:rPr>
                              <w:rFonts w:asciiTheme="minorHAnsi" w:hAnsiTheme="minorHAnsi"/>
                              <w:b/>
                              <w:color w:val="008000"/>
                              <w:sz w:val="28"/>
                              <w:szCs w:val="28"/>
                            </w:rPr>
                            <w:t>UNIÓN DE UNIONES DE CASTILLA-LA MANCHA</w:t>
                          </w:r>
                        </w:p>
                        <w:p w:rsidR="00BD0F3D" w:rsidRPr="003356FE" w:rsidRDefault="00BD0F3D" w:rsidP="0028768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0000" w:themeColor="text1"/>
                            </w:rPr>
                          </w:pPr>
                          <w:r w:rsidRPr="003356FE">
                            <w:rPr>
                              <w:rFonts w:asciiTheme="minorHAnsi" w:hAnsiTheme="minorHAnsi"/>
                              <w:b/>
                              <w:color w:val="000000" w:themeColor="text1"/>
                            </w:rPr>
                            <w:t>Ronda de Buenavista, 55 Módulo 3, CC Buenavista – 45005 Toledo</w:t>
                          </w:r>
                        </w:p>
                        <w:p w:rsidR="00BD0F3D" w:rsidRPr="003356FE" w:rsidRDefault="008B0B72" w:rsidP="0028768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925 25 16 95</w:t>
                          </w:r>
                          <w:r w:rsidR="000B4DE1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 xml:space="preserve"> – 67402 44 33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 xml:space="preserve"> – </w:t>
                          </w:r>
                          <w:r w:rsidR="000B4DE1" w:rsidRPr="000B4DE1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uniondeunionesclm@gmail.com</w:t>
                          </w:r>
                          <w:r w:rsidR="000B4DE1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 xml:space="preserve"> – www.unionclm.org</w:t>
                          </w:r>
                        </w:p>
                        <w:p w:rsidR="00BD0F3D" w:rsidRPr="00BD0F3D" w:rsidRDefault="00BD0F3D" w:rsidP="00BD0F3D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15pt;margin-top:-14pt;width:438.8pt;height:6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Zw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" filled="f" stroked="f">
              <v:textbox style="mso-fit-shape-to-text:t">
                <w:txbxContent>
                  <w:p w:rsidR="00BD0F3D" w:rsidRPr="003356FE" w:rsidRDefault="00BD0F3D" w:rsidP="0028768F">
                    <w:pPr>
                      <w:jc w:val="right"/>
                      <w:rPr>
                        <w:rFonts w:asciiTheme="minorHAnsi" w:hAnsiTheme="minorHAnsi"/>
                        <w:b/>
                        <w:color w:val="008000"/>
                        <w:sz w:val="28"/>
                        <w:szCs w:val="28"/>
                      </w:rPr>
                    </w:pPr>
                    <w:r w:rsidRPr="003356FE">
                      <w:rPr>
                        <w:rFonts w:asciiTheme="minorHAnsi" w:hAnsiTheme="minorHAnsi"/>
                        <w:b/>
                        <w:color w:val="008000"/>
                        <w:sz w:val="28"/>
                        <w:szCs w:val="28"/>
                      </w:rPr>
                      <w:t>UNIÓN DE UNIONES DE CASTILLA-LA MANCHA</w:t>
                    </w:r>
                  </w:p>
                  <w:p w:rsidR="00BD0F3D" w:rsidRPr="003356FE" w:rsidRDefault="00BD0F3D" w:rsidP="0028768F">
                    <w:pPr>
                      <w:jc w:val="right"/>
                      <w:rPr>
                        <w:rFonts w:asciiTheme="minorHAnsi" w:hAnsiTheme="minorHAnsi"/>
                        <w:b/>
                        <w:color w:val="000000" w:themeColor="text1"/>
                      </w:rPr>
                    </w:pPr>
                    <w:r w:rsidRPr="003356FE">
                      <w:rPr>
                        <w:rFonts w:asciiTheme="minorHAnsi" w:hAnsiTheme="minorHAnsi"/>
                        <w:b/>
                        <w:color w:val="000000" w:themeColor="text1"/>
                      </w:rPr>
                      <w:t>Ronda de Buenavista, 55 Módulo 3, CC Buenavista – 45005 Toledo</w:t>
                    </w:r>
                  </w:p>
                  <w:p w:rsidR="00BD0F3D" w:rsidRPr="003356FE" w:rsidRDefault="008B0B72" w:rsidP="0028768F">
                    <w:pPr>
                      <w:jc w:val="right"/>
                      <w:rPr>
                        <w:rFonts w:asciiTheme="minorHAnsi" w:hAnsiTheme="minorHAnsi"/>
                        <w:b/>
                        <w:color w:val="00000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</w:rPr>
                      <w:t>925 25 16 95</w:t>
                    </w:r>
                    <w:r w:rsidR="000B4DE1">
                      <w:rPr>
                        <w:rFonts w:asciiTheme="minorHAnsi" w:hAnsiTheme="minorHAnsi"/>
                        <w:b/>
                        <w:color w:val="000000"/>
                      </w:rPr>
                      <w:t xml:space="preserve"> – 67402 44 33</w:t>
                    </w:r>
                    <w:r>
                      <w:rPr>
                        <w:rFonts w:asciiTheme="minorHAnsi" w:hAnsiTheme="minorHAnsi"/>
                        <w:b/>
                        <w:color w:val="000000"/>
                      </w:rPr>
                      <w:t xml:space="preserve"> – </w:t>
                    </w:r>
                    <w:r w:rsidR="000B4DE1" w:rsidRPr="000B4DE1">
                      <w:rPr>
                        <w:rFonts w:asciiTheme="minorHAnsi" w:hAnsiTheme="minorHAnsi"/>
                        <w:b/>
                        <w:color w:val="000000"/>
                      </w:rPr>
                      <w:t>uniondeunionesclm@gmail.com</w:t>
                    </w:r>
                    <w:r w:rsidR="000B4DE1">
                      <w:rPr>
                        <w:rFonts w:asciiTheme="minorHAnsi" w:hAnsiTheme="minorHAnsi"/>
                        <w:b/>
                        <w:color w:val="000000"/>
                      </w:rPr>
                      <w:t xml:space="preserve"> – www.unionclm.org</w:t>
                    </w:r>
                  </w:p>
                  <w:p w:rsidR="00BD0F3D" w:rsidRPr="00BD0F3D" w:rsidRDefault="00BD0F3D" w:rsidP="00BD0F3D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C350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-259080</wp:posOffset>
          </wp:positionV>
          <wp:extent cx="907415" cy="819150"/>
          <wp:effectExtent l="19050" t="0" r="6985" b="0"/>
          <wp:wrapThrough wrapText="bothSides">
            <wp:wrapPolygon edited="0">
              <wp:start x="-453" y="0"/>
              <wp:lineTo x="-453" y="21098"/>
              <wp:lineTo x="21766" y="21098"/>
              <wp:lineTo x="21766" y="0"/>
              <wp:lineTo x="-453" y="0"/>
            </wp:wrapPolygon>
          </wp:wrapThrough>
          <wp:docPr id="1" name="0 Imagen" descr="logo union de un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on de uniones.jpg"/>
                  <pic:cNvPicPr/>
                </pic:nvPicPr>
                <pic:blipFill>
                  <a:blip r:embed="rId1"/>
                  <a:srcRect l="33672" t="16110" r="34212" b="45741"/>
                  <a:stretch>
                    <a:fillRect/>
                  </a:stretch>
                </pic:blipFill>
                <pic:spPr>
                  <a:xfrm>
                    <a:off x="0" y="0"/>
                    <a:ext cx="907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0F3D" w:rsidRDefault="00BD0F3D" w:rsidP="0028768F">
    <w:pPr>
      <w:pStyle w:val="Encabezado"/>
    </w:pPr>
  </w:p>
  <w:p w:rsidR="00BD0F3D" w:rsidRDefault="00BD0F3D" w:rsidP="00ED008E">
    <w:pPr>
      <w:pStyle w:val="Encabezado"/>
      <w:pBdr>
        <w:bottom w:val="single" w:sz="12" w:space="1" w:color="008000"/>
      </w:pBdr>
      <w:tabs>
        <w:tab w:val="clear" w:pos="8504"/>
        <w:tab w:val="right" w:pos="7938"/>
      </w:tabs>
      <w:ind w:left="-993" w:right="-994"/>
    </w:pPr>
  </w:p>
  <w:p w:rsidR="0028768F" w:rsidRDefault="0028768F" w:rsidP="00ED008E">
    <w:pPr>
      <w:pStyle w:val="Encabezado"/>
      <w:pBdr>
        <w:bottom w:val="single" w:sz="12" w:space="1" w:color="008000"/>
      </w:pBdr>
      <w:tabs>
        <w:tab w:val="clear" w:pos="8504"/>
        <w:tab w:val="right" w:pos="7938"/>
      </w:tabs>
      <w:ind w:left="-993" w:right="-994"/>
    </w:pPr>
  </w:p>
  <w:p w:rsidR="00BD0F3D" w:rsidRDefault="00BD0F3D">
    <w:pPr>
      <w:pStyle w:val="Encabezado"/>
    </w:pPr>
  </w:p>
  <w:p w:rsidR="00BD0F3D" w:rsidRDefault="00BD0F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E7D"/>
    <w:multiLevelType w:val="hybridMultilevel"/>
    <w:tmpl w:val="53C292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D"/>
    <w:rsid w:val="000119F6"/>
    <w:rsid w:val="000556E0"/>
    <w:rsid w:val="00063748"/>
    <w:rsid w:val="00065CA1"/>
    <w:rsid w:val="00074254"/>
    <w:rsid w:val="00085501"/>
    <w:rsid w:val="000B4DE1"/>
    <w:rsid w:val="00104CC9"/>
    <w:rsid w:val="00107C9D"/>
    <w:rsid w:val="00134B52"/>
    <w:rsid w:val="001370F0"/>
    <w:rsid w:val="00154D18"/>
    <w:rsid w:val="00166344"/>
    <w:rsid w:val="00177F43"/>
    <w:rsid w:val="0018558B"/>
    <w:rsid w:val="00190AAD"/>
    <w:rsid w:val="001977E1"/>
    <w:rsid w:val="001A45C6"/>
    <w:rsid w:val="001B2EEB"/>
    <w:rsid w:val="001D2E89"/>
    <w:rsid w:val="001E1C98"/>
    <w:rsid w:val="00222A12"/>
    <w:rsid w:val="00232A43"/>
    <w:rsid w:val="00274DE1"/>
    <w:rsid w:val="0028768F"/>
    <w:rsid w:val="002A77BC"/>
    <w:rsid w:val="002D3042"/>
    <w:rsid w:val="002D3713"/>
    <w:rsid w:val="00300D0B"/>
    <w:rsid w:val="003016B2"/>
    <w:rsid w:val="00307948"/>
    <w:rsid w:val="00307B58"/>
    <w:rsid w:val="00322F5E"/>
    <w:rsid w:val="003339F2"/>
    <w:rsid w:val="003356FE"/>
    <w:rsid w:val="003479DB"/>
    <w:rsid w:val="003515D7"/>
    <w:rsid w:val="00377475"/>
    <w:rsid w:val="00390152"/>
    <w:rsid w:val="003919DB"/>
    <w:rsid w:val="00396E6B"/>
    <w:rsid w:val="003B4E36"/>
    <w:rsid w:val="003C5956"/>
    <w:rsid w:val="003E0836"/>
    <w:rsid w:val="00415B47"/>
    <w:rsid w:val="004176DB"/>
    <w:rsid w:val="0042473B"/>
    <w:rsid w:val="004265D7"/>
    <w:rsid w:val="00430F3B"/>
    <w:rsid w:val="00435455"/>
    <w:rsid w:val="00447A3D"/>
    <w:rsid w:val="004501DE"/>
    <w:rsid w:val="00457361"/>
    <w:rsid w:val="004839D2"/>
    <w:rsid w:val="004A3D8E"/>
    <w:rsid w:val="004C25AA"/>
    <w:rsid w:val="004D0086"/>
    <w:rsid w:val="004E40EB"/>
    <w:rsid w:val="004F2243"/>
    <w:rsid w:val="00532DA6"/>
    <w:rsid w:val="00550140"/>
    <w:rsid w:val="005514A2"/>
    <w:rsid w:val="00560C77"/>
    <w:rsid w:val="005743C7"/>
    <w:rsid w:val="00584AD6"/>
    <w:rsid w:val="00585E26"/>
    <w:rsid w:val="00587BB3"/>
    <w:rsid w:val="005D16C1"/>
    <w:rsid w:val="005D47F8"/>
    <w:rsid w:val="005D4814"/>
    <w:rsid w:val="005E7168"/>
    <w:rsid w:val="00605DA0"/>
    <w:rsid w:val="00616026"/>
    <w:rsid w:val="0062211E"/>
    <w:rsid w:val="006252B1"/>
    <w:rsid w:val="0062748A"/>
    <w:rsid w:val="00630001"/>
    <w:rsid w:val="00655A14"/>
    <w:rsid w:val="00665873"/>
    <w:rsid w:val="0067663C"/>
    <w:rsid w:val="00680538"/>
    <w:rsid w:val="00695905"/>
    <w:rsid w:val="006A25BC"/>
    <w:rsid w:val="006A2A64"/>
    <w:rsid w:val="006B101F"/>
    <w:rsid w:val="006B68A0"/>
    <w:rsid w:val="006C2F6E"/>
    <w:rsid w:val="006D5638"/>
    <w:rsid w:val="006E458B"/>
    <w:rsid w:val="00700345"/>
    <w:rsid w:val="00700735"/>
    <w:rsid w:val="00703ED5"/>
    <w:rsid w:val="007234B3"/>
    <w:rsid w:val="00733DF8"/>
    <w:rsid w:val="00773FD0"/>
    <w:rsid w:val="0078393C"/>
    <w:rsid w:val="007B07F1"/>
    <w:rsid w:val="007B4FFA"/>
    <w:rsid w:val="007B6AF2"/>
    <w:rsid w:val="007B7E6D"/>
    <w:rsid w:val="007B7E72"/>
    <w:rsid w:val="007D51EB"/>
    <w:rsid w:val="00807893"/>
    <w:rsid w:val="00817F64"/>
    <w:rsid w:val="00823F40"/>
    <w:rsid w:val="008313A0"/>
    <w:rsid w:val="00836D19"/>
    <w:rsid w:val="00851225"/>
    <w:rsid w:val="00851345"/>
    <w:rsid w:val="008520CD"/>
    <w:rsid w:val="00871CE0"/>
    <w:rsid w:val="00874CF3"/>
    <w:rsid w:val="00896A91"/>
    <w:rsid w:val="008A02D9"/>
    <w:rsid w:val="008B0B72"/>
    <w:rsid w:val="008B76E0"/>
    <w:rsid w:val="008C15AF"/>
    <w:rsid w:val="008D10DB"/>
    <w:rsid w:val="008D6D07"/>
    <w:rsid w:val="008E5148"/>
    <w:rsid w:val="00911A11"/>
    <w:rsid w:val="009264FE"/>
    <w:rsid w:val="00956A84"/>
    <w:rsid w:val="00981363"/>
    <w:rsid w:val="009B1D40"/>
    <w:rsid w:val="009B1DBB"/>
    <w:rsid w:val="009B48C5"/>
    <w:rsid w:val="009B7C04"/>
    <w:rsid w:val="009B7C65"/>
    <w:rsid w:val="009C7214"/>
    <w:rsid w:val="009D0143"/>
    <w:rsid w:val="009E075B"/>
    <w:rsid w:val="009E692C"/>
    <w:rsid w:val="009E6E2F"/>
    <w:rsid w:val="00A0556A"/>
    <w:rsid w:val="00A24EBF"/>
    <w:rsid w:val="00A4567C"/>
    <w:rsid w:val="00A5571A"/>
    <w:rsid w:val="00A769D8"/>
    <w:rsid w:val="00A77062"/>
    <w:rsid w:val="00A875D5"/>
    <w:rsid w:val="00AB52CB"/>
    <w:rsid w:val="00AE2165"/>
    <w:rsid w:val="00AE5941"/>
    <w:rsid w:val="00B1123A"/>
    <w:rsid w:val="00B13F70"/>
    <w:rsid w:val="00B32EE5"/>
    <w:rsid w:val="00B42FAE"/>
    <w:rsid w:val="00B446B5"/>
    <w:rsid w:val="00B478E4"/>
    <w:rsid w:val="00B563F9"/>
    <w:rsid w:val="00B574DE"/>
    <w:rsid w:val="00B60623"/>
    <w:rsid w:val="00B6427B"/>
    <w:rsid w:val="00B731F3"/>
    <w:rsid w:val="00B871EB"/>
    <w:rsid w:val="00BA52EC"/>
    <w:rsid w:val="00BB3CBF"/>
    <w:rsid w:val="00BC1ED6"/>
    <w:rsid w:val="00BC7232"/>
    <w:rsid w:val="00BD0F3D"/>
    <w:rsid w:val="00BF0B7E"/>
    <w:rsid w:val="00BF1CB5"/>
    <w:rsid w:val="00C00210"/>
    <w:rsid w:val="00C35060"/>
    <w:rsid w:val="00C427DE"/>
    <w:rsid w:val="00C5305B"/>
    <w:rsid w:val="00C55BC8"/>
    <w:rsid w:val="00C74401"/>
    <w:rsid w:val="00C85B71"/>
    <w:rsid w:val="00CB1B0F"/>
    <w:rsid w:val="00CB420A"/>
    <w:rsid w:val="00CC53CE"/>
    <w:rsid w:val="00CD1407"/>
    <w:rsid w:val="00CF40D4"/>
    <w:rsid w:val="00D065BC"/>
    <w:rsid w:val="00D12551"/>
    <w:rsid w:val="00D33EF0"/>
    <w:rsid w:val="00D429AF"/>
    <w:rsid w:val="00D548BE"/>
    <w:rsid w:val="00D9702B"/>
    <w:rsid w:val="00DC5BB8"/>
    <w:rsid w:val="00DD1691"/>
    <w:rsid w:val="00DD2396"/>
    <w:rsid w:val="00DD36B2"/>
    <w:rsid w:val="00DD6CD4"/>
    <w:rsid w:val="00DF3923"/>
    <w:rsid w:val="00DF588C"/>
    <w:rsid w:val="00E02292"/>
    <w:rsid w:val="00E34A43"/>
    <w:rsid w:val="00E35A1F"/>
    <w:rsid w:val="00E84BBB"/>
    <w:rsid w:val="00E866A1"/>
    <w:rsid w:val="00E930E4"/>
    <w:rsid w:val="00E9313C"/>
    <w:rsid w:val="00E94C6A"/>
    <w:rsid w:val="00EA7466"/>
    <w:rsid w:val="00EC112B"/>
    <w:rsid w:val="00ED008E"/>
    <w:rsid w:val="00ED23A2"/>
    <w:rsid w:val="00ED770C"/>
    <w:rsid w:val="00EF374D"/>
    <w:rsid w:val="00EF7C31"/>
    <w:rsid w:val="00F00510"/>
    <w:rsid w:val="00F04140"/>
    <w:rsid w:val="00F13407"/>
    <w:rsid w:val="00F43DA5"/>
    <w:rsid w:val="00F633AA"/>
    <w:rsid w:val="00F95D19"/>
    <w:rsid w:val="00FC1B01"/>
    <w:rsid w:val="00FC471B"/>
    <w:rsid w:val="00FD303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E63B0-E066-40AA-95FF-64D9401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F3D"/>
  </w:style>
  <w:style w:type="paragraph" w:styleId="Piedepgina">
    <w:name w:val="footer"/>
    <w:basedOn w:val="Normal"/>
    <w:link w:val="PiedepginaCar"/>
    <w:uiPriority w:val="99"/>
    <w:unhideWhenUsed/>
    <w:rsid w:val="00BD0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F3D"/>
  </w:style>
  <w:style w:type="paragraph" w:styleId="Textodeglobo">
    <w:name w:val="Balloon Text"/>
    <w:basedOn w:val="Normal"/>
    <w:link w:val="TextodegloboCar"/>
    <w:uiPriority w:val="99"/>
    <w:semiHidden/>
    <w:unhideWhenUsed/>
    <w:rsid w:val="00BD0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3D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C427DE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27DE"/>
    <w:rPr>
      <w:rFonts w:ascii="Consolas" w:hAnsi="Consolas"/>
      <w:sz w:val="21"/>
      <w:szCs w:val="21"/>
      <w:lang w:val="es-ES_tradnl"/>
    </w:rPr>
  </w:style>
  <w:style w:type="character" w:styleId="Hipervnculo">
    <w:name w:val="Hyperlink"/>
    <w:basedOn w:val="Fuentedeprrafopredeter"/>
    <w:uiPriority w:val="99"/>
    <w:unhideWhenUsed/>
    <w:rsid w:val="000B4DE1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11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112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C112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11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112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C112B"/>
    <w:rPr>
      <w:vertAlign w:val="superscript"/>
    </w:rPr>
  </w:style>
  <w:style w:type="paragraph" w:customStyle="1" w:styleId="Default">
    <w:name w:val="Default"/>
    <w:rsid w:val="00450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CB57-EC21-4598-B0D4-76C7D22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2013-09-09T06:22:00Z</cp:lastPrinted>
  <dcterms:created xsi:type="dcterms:W3CDTF">2015-10-26T09:01:00Z</dcterms:created>
  <dcterms:modified xsi:type="dcterms:W3CDTF">2015-10-26T09:45:00Z</dcterms:modified>
</cp:coreProperties>
</file>