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6913" w:tblpY="-845"/>
        <w:tblW w:w="4644" w:type="dxa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4644"/>
      </w:tblGrid>
      <w:tr w:rsidR="004E37B2" w:rsidRPr="00C26D01" w:rsidTr="00CD25F9">
        <w:trPr>
          <w:trHeight w:val="1017"/>
        </w:trPr>
        <w:tc>
          <w:tcPr>
            <w:tcW w:w="4644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E6EED5"/>
          </w:tcPr>
          <w:p w:rsidR="004E37B2" w:rsidRPr="00C26D01" w:rsidRDefault="004E37B2" w:rsidP="0086087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25F9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="003C5467">
              <w:rPr>
                <w:b/>
                <w:bCs/>
                <w:color w:val="000000"/>
                <w:sz w:val="24"/>
                <w:szCs w:val="24"/>
              </w:rPr>
              <w:t>Madrid</w:t>
            </w:r>
            <w:r w:rsidR="003B4F1A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86087A">
              <w:rPr>
                <w:b/>
                <w:bCs/>
                <w:color w:val="000000"/>
                <w:sz w:val="24"/>
                <w:szCs w:val="24"/>
              </w:rPr>
              <w:t>26</w:t>
            </w:r>
            <w:r w:rsidR="002D0D0B">
              <w:rPr>
                <w:b/>
                <w:bCs/>
                <w:color w:val="000000"/>
                <w:sz w:val="24"/>
                <w:szCs w:val="24"/>
              </w:rPr>
              <w:t xml:space="preserve"> de noviembre</w:t>
            </w:r>
            <w:r w:rsidR="00E66C8F">
              <w:rPr>
                <w:b/>
                <w:bCs/>
                <w:color w:val="000000"/>
                <w:sz w:val="24"/>
                <w:szCs w:val="24"/>
              </w:rPr>
              <w:t xml:space="preserve"> de 2013</w:t>
            </w:r>
          </w:p>
        </w:tc>
      </w:tr>
    </w:tbl>
    <w:p w:rsidR="004E37B2" w:rsidRPr="00C26D01" w:rsidRDefault="00E32676" w:rsidP="00BB5A9C">
      <w:pPr>
        <w:jc w:val="both"/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2857500" cy="1150620"/>
            <wp:effectExtent l="19050" t="0" r="0" b="0"/>
            <wp:docPr id="1" name="0 Imagen" descr="logo_plataforma 72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_plataforma 72pp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7B2" w:rsidRPr="00C26D01">
        <w:rPr>
          <w:b/>
        </w:rPr>
        <w:t xml:space="preserve">                     </w:t>
      </w:r>
    </w:p>
    <w:p w:rsidR="004E37B2" w:rsidRPr="00C26D01" w:rsidRDefault="004E37B2" w:rsidP="00BB5A9C">
      <w:pPr>
        <w:jc w:val="both"/>
        <w:rPr>
          <w:rFonts w:cs="Calibri"/>
        </w:rPr>
      </w:pPr>
      <w:r w:rsidRPr="00C26D01">
        <w:rPr>
          <w:b/>
        </w:rPr>
        <w:t xml:space="preserve">         </w:t>
      </w:r>
    </w:p>
    <w:p w:rsidR="004E37B2" w:rsidRDefault="006F6E50" w:rsidP="00EB4EB2">
      <w:pPr>
        <w:spacing w:after="0" w:line="240" w:lineRule="auto"/>
        <w:ind w:left="-142" w:right="-143"/>
        <w:jc w:val="center"/>
        <w:textAlignment w:val="top"/>
        <w:rPr>
          <w:rFonts w:cs="Calibri"/>
          <w:b/>
          <w:bCs/>
          <w:color w:val="000000"/>
          <w:sz w:val="44"/>
          <w:szCs w:val="44"/>
        </w:rPr>
      </w:pPr>
      <w:r>
        <w:rPr>
          <w:rFonts w:cs="Calibri"/>
          <w:b/>
          <w:bCs/>
          <w:color w:val="000000"/>
          <w:sz w:val="44"/>
          <w:szCs w:val="44"/>
        </w:rPr>
        <w:t xml:space="preserve">El sector </w:t>
      </w:r>
      <w:r w:rsidR="006A4CAD">
        <w:rPr>
          <w:rFonts w:cs="Calibri"/>
          <w:b/>
          <w:bCs/>
          <w:color w:val="000000"/>
          <w:sz w:val="44"/>
          <w:szCs w:val="44"/>
        </w:rPr>
        <w:t>productor</w:t>
      </w:r>
      <w:r>
        <w:rPr>
          <w:rFonts w:cs="Calibri"/>
          <w:b/>
          <w:bCs/>
          <w:color w:val="000000"/>
          <w:sz w:val="44"/>
          <w:szCs w:val="44"/>
        </w:rPr>
        <w:t xml:space="preserve"> de cerdo </w:t>
      </w:r>
      <w:r w:rsidR="00C9007F">
        <w:rPr>
          <w:rFonts w:cs="Calibri"/>
          <w:b/>
          <w:bCs/>
          <w:color w:val="000000"/>
          <w:sz w:val="44"/>
          <w:szCs w:val="44"/>
        </w:rPr>
        <w:t>propone un</w:t>
      </w:r>
      <w:r w:rsidR="00F1160F">
        <w:rPr>
          <w:rFonts w:cs="Calibri"/>
          <w:b/>
          <w:bCs/>
          <w:color w:val="000000"/>
          <w:sz w:val="44"/>
          <w:szCs w:val="44"/>
        </w:rPr>
        <w:t xml:space="preserve"> etiquetado que potencie los productos europeos frente a los extracomunitarios</w:t>
      </w:r>
    </w:p>
    <w:p w:rsidR="005A68DC" w:rsidRPr="0009785C" w:rsidRDefault="005A68DC" w:rsidP="005A68DC">
      <w:pPr>
        <w:ind w:left="720"/>
        <w:rPr>
          <w:rFonts w:cs="Calibri"/>
          <w:b/>
          <w:bCs/>
          <w:lang w:eastAsia="es-ES"/>
        </w:rPr>
      </w:pPr>
    </w:p>
    <w:p w:rsidR="007B2A23" w:rsidRPr="007B2A23" w:rsidRDefault="006A4CAD" w:rsidP="00907C84">
      <w:pPr>
        <w:numPr>
          <w:ilvl w:val="0"/>
          <w:numId w:val="6"/>
        </w:numPr>
        <w:jc w:val="center"/>
        <w:rPr>
          <w:rFonts w:cs="Calibri"/>
          <w:b/>
          <w:bCs/>
          <w:lang w:eastAsia="es-ES"/>
        </w:rPr>
      </w:pPr>
      <w:r>
        <w:rPr>
          <w:rFonts w:cs="Calibri"/>
          <w:b/>
          <w:bCs/>
          <w:lang w:eastAsia="es-ES"/>
        </w:rPr>
        <w:t>La Comisión Europea está preparando un proyecto de etiquetado en la carne de porcino, ovino y aves con el que el consumidor pueda tener una mayor información de la procedencia del producto que adquiere</w:t>
      </w:r>
    </w:p>
    <w:p w:rsidR="00907C84" w:rsidRPr="00E412BE" w:rsidRDefault="00E412BE" w:rsidP="00907C84">
      <w:pPr>
        <w:numPr>
          <w:ilvl w:val="0"/>
          <w:numId w:val="6"/>
        </w:numPr>
        <w:jc w:val="center"/>
        <w:rPr>
          <w:rFonts w:cs="Calibri"/>
          <w:b/>
          <w:bCs/>
          <w:lang w:eastAsia="es-ES"/>
        </w:rPr>
      </w:pPr>
      <w:r>
        <w:rPr>
          <w:rFonts w:cs="Calibri"/>
          <w:b/>
        </w:rPr>
        <w:t xml:space="preserve">La apuesta de España, liderada por la Asociación Nacional de Productores de Ganado Porcino, es reseñar en la etiqueta si la carne es de origen del interior de la UE o no lo es, para potenciar así el mercado comunitario e incrementar su competitividad. </w:t>
      </w:r>
    </w:p>
    <w:p w:rsidR="00E412BE" w:rsidRPr="00C9007F" w:rsidRDefault="00C9007F" w:rsidP="00907C84">
      <w:pPr>
        <w:numPr>
          <w:ilvl w:val="0"/>
          <w:numId w:val="6"/>
        </w:numPr>
        <w:jc w:val="center"/>
        <w:rPr>
          <w:rFonts w:cs="Calibri"/>
          <w:b/>
        </w:rPr>
      </w:pPr>
      <w:r>
        <w:rPr>
          <w:rFonts w:cs="Calibri"/>
          <w:b/>
        </w:rPr>
        <w:t>L</w:t>
      </w:r>
      <w:r w:rsidRPr="00C9007F">
        <w:rPr>
          <w:rFonts w:cs="Calibri"/>
          <w:b/>
        </w:rPr>
        <w:t xml:space="preserve">a producción de porcino </w:t>
      </w:r>
      <w:r w:rsidR="00702579">
        <w:rPr>
          <w:rFonts w:cs="Calibri"/>
          <w:b/>
        </w:rPr>
        <w:t>es</w:t>
      </w:r>
      <w:r>
        <w:rPr>
          <w:rFonts w:cs="Calibri"/>
          <w:b/>
        </w:rPr>
        <w:t xml:space="preserve"> primer sector ganadero de nuestro</w:t>
      </w:r>
      <w:r w:rsidRPr="00C9007F">
        <w:rPr>
          <w:rFonts w:cs="Calibri"/>
          <w:b/>
        </w:rPr>
        <w:t xml:space="preserve"> país, con una producción final de 6.000 millones de euros al año</w:t>
      </w:r>
      <w:r w:rsidR="00702579">
        <w:rPr>
          <w:rFonts w:cs="Calibri"/>
          <w:b/>
        </w:rPr>
        <w:t>. A pesar de que el sector ha sufrido una disminución en 2013 debido a la adaptación a la normativa sobre bienestar animal, se prevé que la cifra de negocio tenga un ligero ascenso en 2014</w:t>
      </w:r>
    </w:p>
    <w:p w:rsidR="00702579" w:rsidRDefault="00702579" w:rsidP="002D0D0B">
      <w:pPr>
        <w:pStyle w:val="heditorfirstjustify"/>
        <w:rPr>
          <w:rFonts w:ascii="Calibri" w:hAnsi="Calibri" w:cs="Calibri"/>
        </w:rPr>
      </w:pPr>
    </w:p>
    <w:p w:rsidR="00396C8D" w:rsidRDefault="00537439" w:rsidP="002D0D0B">
      <w:pPr>
        <w:pStyle w:val="heditorfirstjustify"/>
        <w:rPr>
          <w:rFonts w:ascii="Calibri" w:hAnsi="Calibri" w:cs="Calibri"/>
        </w:rPr>
      </w:pPr>
      <w:r>
        <w:rPr>
          <w:rFonts w:ascii="Calibri" w:hAnsi="Calibri" w:cs="Calibri"/>
        </w:rPr>
        <w:t>Es necesario armonizar</w:t>
      </w:r>
      <w:r w:rsidR="00396C8D">
        <w:rPr>
          <w:rFonts w:ascii="Calibri" w:hAnsi="Calibri" w:cs="Calibri"/>
        </w:rPr>
        <w:t xml:space="preserve"> las normas de etiquetado de la carne de porcino, indicando si el animal ha nacido, ha sido criado y se ha sacrificado dentro de la Unión Europea, sin especificar países, </w:t>
      </w:r>
      <w:r>
        <w:rPr>
          <w:rFonts w:ascii="Calibri" w:hAnsi="Calibri" w:cs="Calibri"/>
        </w:rPr>
        <w:t>para incrementar</w:t>
      </w:r>
      <w:r w:rsidR="00396C8D">
        <w:rPr>
          <w:rFonts w:ascii="Calibri" w:hAnsi="Calibri" w:cs="Calibri"/>
        </w:rPr>
        <w:t xml:space="preserve"> la competitividad del sector con respecto a terceros países fuera de Europa, así como la capacidad de negociación a la hora de exportar. </w:t>
      </w:r>
    </w:p>
    <w:p w:rsidR="00396C8D" w:rsidRDefault="00396C8D" w:rsidP="002D0D0B">
      <w:pPr>
        <w:pStyle w:val="heditorfirstjustify"/>
        <w:rPr>
          <w:rFonts w:ascii="Calibri" w:hAnsi="Calibri" w:cs="Calibri"/>
        </w:rPr>
      </w:pPr>
      <w:r>
        <w:rPr>
          <w:rFonts w:ascii="Calibri" w:hAnsi="Calibri" w:cs="Calibri"/>
        </w:rPr>
        <w:t>Así lo indica Miguel Ángel Higuera, director de la Asociación Nacional de Productores de Ganado Porcino (ANPROGAPOR)</w:t>
      </w:r>
      <w:r w:rsidR="00196C9D">
        <w:rPr>
          <w:rFonts w:ascii="Calibri" w:hAnsi="Calibri" w:cs="Calibri"/>
        </w:rPr>
        <w:t>,</w:t>
      </w:r>
      <w:r w:rsidR="00203463">
        <w:rPr>
          <w:rFonts w:ascii="Calibri" w:hAnsi="Calibri" w:cs="Calibri"/>
        </w:rPr>
        <w:t xml:space="preserve"> ante la iniciativa de la Comisión Europea de que en el etiquetado de la carne de porcino, ovino y aves, aparezcan los países de la última parte de cría del animal, así como el lugar de sacrificio.</w:t>
      </w:r>
    </w:p>
    <w:p w:rsidR="00196C9D" w:rsidRDefault="00203463" w:rsidP="00203463">
      <w:pPr>
        <w:pStyle w:val="heditorfirstjustify"/>
        <w:rPr>
          <w:rFonts w:ascii="Calibri" w:hAnsi="Calibri" w:cs="Calibri"/>
        </w:rPr>
      </w:pPr>
      <w:r>
        <w:rPr>
          <w:rFonts w:ascii="Calibri" w:hAnsi="Calibri" w:cs="Calibri"/>
        </w:rPr>
        <w:t>“Tenemos que potenciar nuestros productos como Unión Europea</w:t>
      </w:r>
      <w:r w:rsidR="00913373">
        <w:rPr>
          <w:rFonts w:ascii="Calibri" w:hAnsi="Calibri" w:cs="Calibri"/>
        </w:rPr>
        <w:t xml:space="preserve"> perdiendo </w:t>
      </w:r>
      <w:r>
        <w:rPr>
          <w:rFonts w:ascii="Calibri" w:hAnsi="Calibri" w:cs="Calibri"/>
        </w:rPr>
        <w:t>peso como p</w:t>
      </w:r>
      <w:r w:rsidR="005F72F5">
        <w:rPr>
          <w:rFonts w:ascii="Calibri" w:hAnsi="Calibri" w:cs="Calibri"/>
        </w:rPr>
        <w:t>aíses individuales para ganarlo</w:t>
      </w:r>
      <w:r>
        <w:rPr>
          <w:rFonts w:ascii="Calibri" w:hAnsi="Calibri" w:cs="Calibri"/>
        </w:rPr>
        <w:t xml:space="preserve"> como </w:t>
      </w:r>
      <w:r w:rsidR="005F72F5">
        <w:rPr>
          <w:rFonts w:ascii="Calibri" w:hAnsi="Calibri" w:cs="Calibri"/>
        </w:rPr>
        <w:t>en conjunto</w:t>
      </w:r>
      <w:r w:rsidR="00913373">
        <w:rPr>
          <w:rFonts w:ascii="Calibri" w:hAnsi="Calibri" w:cs="Calibri"/>
        </w:rPr>
        <w:t xml:space="preserve">”, comenta </w:t>
      </w:r>
      <w:r w:rsidR="00196C9D">
        <w:rPr>
          <w:rFonts w:ascii="Calibri" w:hAnsi="Calibri" w:cs="Calibri"/>
        </w:rPr>
        <w:t>el director de ANPROGAPOR, asociación perteneciente a la Plataforma Tecnológica de Agricultura Sostenible (PTAS)</w:t>
      </w:r>
      <w:r>
        <w:rPr>
          <w:rFonts w:ascii="Calibri" w:hAnsi="Calibri" w:cs="Calibri"/>
        </w:rPr>
        <w:t xml:space="preserve">. </w:t>
      </w:r>
      <w:r w:rsidR="00913373">
        <w:rPr>
          <w:rFonts w:ascii="Calibri" w:hAnsi="Calibri" w:cs="Calibri"/>
        </w:rPr>
        <w:t>“</w:t>
      </w:r>
      <w:r>
        <w:rPr>
          <w:rFonts w:ascii="Calibri" w:hAnsi="Calibri" w:cs="Calibri"/>
        </w:rPr>
        <w:t xml:space="preserve">De esta forma </w:t>
      </w:r>
      <w:r w:rsidR="00913373">
        <w:rPr>
          <w:rFonts w:ascii="Calibri" w:hAnsi="Calibri" w:cs="Calibri"/>
        </w:rPr>
        <w:t xml:space="preserve">conseguiremos un sector de producción de porcino </w:t>
      </w:r>
      <w:r w:rsidR="005F72F5">
        <w:rPr>
          <w:rFonts w:ascii="Calibri" w:hAnsi="Calibri" w:cs="Calibri"/>
        </w:rPr>
        <w:t xml:space="preserve">comunitario </w:t>
      </w:r>
      <w:r w:rsidR="00913373">
        <w:rPr>
          <w:rFonts w:ascii="Calibri" w:hAnsi="Calibri" w:cs="Calibri"/>
        </w:rPr>
        <w:t>mucho</w:t>
      </w:r>
      <w:r>
        <w:rPr>
          <w:rFonts w:ascii="Calibri" w:hAnsi="Calibri" w:cs="Calibri"/>
        </w:rPr>
        <w:t xml:space="preserve"> más competitivo </w:t>
      </w:r>
      <w:r w:rsidR="00913373">
        <w:rPr>
          <w:rFonts w:ascii="Calibri" w:hAnsi="Calibri" w:cs="Calibri"/>
        </w:rPr>
        <w:t>a la hora de</w:t>
      </w:r>
      <w:r>
        <w:rPr>
          <w:rFonts w:ascii="Calibri" w:hAnsi="Calibri" w:cs="Calibri"/>
        </w:rPr>
        <w:t xml:space="preserve"> exportar, y </w:t>
      </w:r>
      <w:r w:rsidR="005F72F5">
        <w:rPr>
          <w:rFonts w:ascii="Calibri" w:hAnsi="Calibri" w:cs="Calibri"/>
        </w:rPr>
        <w:t>seremos capaces de negociar ante terceros países en condiciones más ventajosas”</w:t>
      </w:r>
      <w:r>
        <w:rPr>
          <w:rFonts w:ascii="Calibri" w:hAnsi="Calibri" w:cs="Calibri"/>
        </w:rPr>
        <w:t>.</w:t>
      </w:r>
    </w:p>
    <w:p w:rsidR="00196C9D" w:rsidRPr="00196C9D" w:rsidRDefault="004E2578" w:rsidP="00203463">
      <w:pPr>
        <w:pStyle w:val="heditorfirstjustify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Mayor información para el consumidor</w:t>
      </w:r>
    </w:p>
    <w:p w:rsidR="00203463" w:rsidRDefault="00196C9D" w:rsidP="00203463">
      <w:pPr>
        <w:pStyle w:val="heditorfirstjustify"/>
        <w:rPr>
          <w:rFonts w:ascii="Calibri" w:hAnsi="Calibri" w:cs="Calibri"/>
        </w:rPr>
      </w:pPr>
      <w:r>
        <w:rPr>
          <w:rFonts w:ascii="Calibri" w:hAnsi="Calibri" w:cs="Calibri"/>
        </w:rPr>
        <w:t xml:space="preserve">Durante los últimos meses </w:t>
      </w:r>
      <w:r w:rsidR="002034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la Comisión Europea ha estado preparando un </w:t>
      </w:r>
      <w:r w:rsidR="004E2578">
        <w:rPr>
          <w:rFonts w:ascii="Calibri" w:hAnsi="Calibri" w:cs="Calibri"/>
        </w:rPr>
        <w:t xml:space="preserve">nuevo </w:t>
      </w:r>
      <w:r>
        <w:rPr>
          <w:rFonts w:ascii="Calibri" w:hAnsi="Calibri" w:cs="Calibri"/>
        </w:rPr>
        <w:t>proyecto sobre las nuevas normas de origen en el etiquetado de la carne de porcino, ovino y aves. Tras la famosa crisis de la carne de caballo</w:t>
      </w:r>
      <w:r w:rsidR="004E2578">
        <w:rPr>
          <w:rFonts w:ascii="Calibri" w:hAnsi="Calibri" w:cs="Calibri"/>
        </w:rPr>
        <w:t xml:space="preserve"> no etiqueta en hamburguesas y productos precocinados</w:t>
      </w:r>
      <w:r>
        <w:rPr>
          <w:rFonts w:ascii="Calibri" w:hAnsi="Calibri" w:cs="Calibri"/>
        </w:rPr>
        <w:t>, este proyecto se ha visto impu</w:t>
      </w:r>
      <w:r w:rsidR="004E2578">
        <w:rPr>
          <w:rFonts w:ascii="Calibri" w:hAnsi="Calibri" w:cs="Calibri"/>
        </w:rPr>
        <w:t xml:space="preserve">lsado con el fin de que el consumidor final pueda contar con toda la información del producto que ha adquirido. </w:t>
      </w:r>
    </w:p>
    <w:p w:rsidR="008362D1" w:rsidRDefault="008362D1" w:rsidP="00203463">
      <w:pPr>
        <w:pStyle w:val="heditorfirstjustify"/>
        <w:rPr>
          <w:rFonts w:ascii="Calibri" w:hAnsi="Calibri" w:cs="Calibri"/>
        </w:rPr>
      </w:pPr>
      <w:r>
        <w:rPr>
          <w:rFonts w:ascii="Calibri" w:hAnsi="Calibri" w:cs="Calibri"/>
        </w:rPr>
        <w:t xml:space="preserve">A día de hoy, la propuesta que más apoyo tiene por parte de la Comisión Europea pasa por indicar en el etiquetado los países de nacimiento, crianza y sacrificio del animal. </w:t>
      </w:r>
      <w:r w:rsidR="00C560CC">
        <w:rPr>
          <w:rFonts w:ascii="Calibri" w:hAnsi="Calibri" w:cs="Calibri"/>
        </w:rPr>
        <w:t>“S</w:t>
      </w:r>
      <w:r>
        <w:rPr>
          <w:rFonts w:ascii="Calibri" w:hAnsi="Calibri" w:cs="Calibri"/>
        </w:rPr>
        <w:t>egún estimaciones hechas por el Copa-</w:t>
      </w:r>
      <w:proofErr w:type="spellStart"/>
      <w:r>
        <w:rPr>
          <w:rFonts w:ascii="Calibri" w:hAnsi="Calibri" w:cs="Calibri"/>
        </w:rPr>
        <w:t>Cogeca</w:t>
      </w:r>
      <w:proofErr w:type="spellEnd"/>
      <w:r>
        <w:rPr>
          <w:rFonts w:ascii="Calibri" w:hAnsi="Calibri" w:cs="Calibri"/>
        </w:rPr>
        <w:t xml:space="preserve">, poner en marcha esta opción tendría un sobrecoste en el producto del 2,5%”, comenta Miguel Ángel Higuera. </w:t>
      </w:r>
      <w:r w:rsidR="00C560CC">
        <w:rPr>
          <w:rFonts w:ascii="Calibri" w:hAnsi="Calibri" w:cs="Calibri"/>
        </w:rPr>
        <w:t xml:space="preserve">“En cambio, el hecho de indicar solamente si procede o no de la UE, sin especificar países, no tendría ningún tipo de sobrecoste en el producto final e incrementaría la competitividad del sector”. </w:t>
      </w:r>
    </w:p>
    <w:p w:rsidR="00C560CC" w:rsidRDefault="00C560CC" w:rsidP="00203463">
      <w:pPr>
        <w:pStyle w:val="heditorfirstjustify"/>
        <w:rPr>
          <w:rFonts w:ascii="Calibri" w:hAnsi="Calibri" w:cs="Calibri"/>
        </w:rPr>
      </w:pPr>
      <w:r>
        <w:rPr>
          <w:rFonts w:ascii="Calibri" w:hAnsi="Calibri" w:cs="Calibri"/>
        </w:rPr>
        <w:t>Tal y como continúa subrayando el director de ANPROGAPOR, “si finalmente la nueva norma de etiquetado de productos se decanta por indicar el país de procedencia, crianza y sacrificio del animal, el sobrecoste que esto conllevaría no podría ser asumible por la industria, por lo que habrá que estudiar si e</w:t>
      </w:r>
      <w:r w:rsidR="002B651B">
        <w:rPr>
          <w:rFonts w:ascii="Calibri" w:hAnsi="Calibri" w:cs="Calibri"/>
        </w:rPr>
        <w:t>l consumidor lo asumiría</w:t>
      </w:r>
      <w:r w:rsidR="00F71D2E">
        <w:rPr>
          <w:rFonts w:ascii="Calibri" w:hAnsi="Calibri" w:cs="Calibri"/>
        </w:rPr>
        <w:t>. Antes de poner el proyecto en marcha deberíamos preguntarnos si es un requisito de gran necesidad o se trata de un capricho</w:t>
      </w:r>
      <w:r w:rsidR="002B651B">
        <w:rPr>
          <w:rFonts w:ascii="Calibri" w:hAnsi="Calibri" w:cs="Calibri"/>
        </w:rPr>
        <w:t xml:space="preserve">”. </w:t>
      </w:r>
    </w:p>
    <w:p w:rsidR="00E473E5" w:rsidRDefault="00E473E5" w:rsidP="00203463">
      <w:pPr>
        <w:pStyle w:val="heditorfirstjustify"/>
        <w:rPr>
          <w:rFonts w:ascii="Calibri" w:hAnsi="Calibri" w:cs="Calibri"/>
        </w:rPr>
      </w:pPr>
      <w:r>
        <w:rPr>
          <w:rFonts w:ascii="Calibri" w:hAnsi="Calibri" w:cs="Calibri"/>
        </w:rPr>
        <w:t xml:space="preserve">Esta nueva propuesta de la Comisión Europea se enmarca en un conjunto de acciones que tienen como objetivo incrementar la información al </w:t>
      </w:r>
      <w:r w:rsidR="00516B6E">
        <w:rPr>
          <w:rFonts w:ascii="Calibri" w:hAnsi="Calibri" w:cs="Calibri"/>
        </w:rPr>
        <w:t xml:space="preserve">consumidor sobre la carne fresca que adquiere. “De todas formas, desde el sector productor de porcino tememos que bajo esta opción también se esconda </w:t>
      </w:r>
      <w:r w:rsidR="00500A32">
        <w:rPr>
          <w:rFonts w:ascii="Calibri" w:hAnsi="Calibri" w:cs="Calibri"/>
        </w:rPr>
        <w:t xml:space="preserve">una vía para incrementar el proteccionismo ante mercados importadores, es decir, que se trate de influir al consumidor para que consuma carne de su propio país y no importado”, indica Higuera. “Hemos de dejar claro que se trata de dar una información extra al consumidor, ya que la trazabilidad del producto está más que </w:t>
      </w:r>
      <w:r w:rsidR="00A91CC7">
        <w:rPr>
          <w:rFonts w:ascii="Calibri" w:hAnsi="Calibri" w:cs="Calibri"/>
        </w:rPr>
        <w:t xml:space="preserve">garantizada </w:t>
      </w:r>
      <w:r w:rsidR="00500A32">
        <w:rPr>
          <w:rFonts w:ascii="Calibri" w:hAnsi="Calibri" w:cs="Calibri"/>
        </w:rPr>
        <w:t xml:space="preserve">y es de obligado cumplimiento”.  </w:t>
      </w:r>
    </w:p>
    <w:p w:rsidR="00A91CC7" w:rsidRPr="00A91CC7" w:rsidRDefault="00A91CC7" w:rsidP="00203463">
      <w:pPr>
        <w:pStyle w:val="heditorfirstjustify"/>
        <w:rPr>
          <w:rFonts w:ascii="Calibri" w:hAnsi="Calibri" w:cs="Calibri"/>
          <w:b/>
        </w:rPr>
      </w:pPr>
      <w:r w:rsidRPr="00A91CC7">
        <w:rPr>
          <w:rFonts w:ascii="Calibri" w:hAnsi="Calibri" w:cs="Calibri"/>
          <w:b/>
        </w:rPr>
        <w:t>Un leve incremento para 2014</w:t>
      </w:r>
    </w:p>
    <w:p w:rsidR="00A91CC7" w:rsidRDefault="00A91CC7" w:rsidP="00A91CC7">
      <w:pPr>
        <w:pStyle w:val="heditorfirstjustify"/>
        <w:rPr>
          <w:rFonts w:ascii="Calibri" w:hAnsi="Calibri" w:cs="Calibri"/>
        </w:rPr>
      </w:pPr>
      <w:r>
        <w:rPr>
          <w:rFonts w:ascii="Calibri" w:hAnsi="Calibri" w:cs="Calibri"/>
        </w:rPr>
        <w:t>La producción de carne de cerdo en España se ha visto reducida en un 1,5% en el primer semestre de 2013 y se prevé que este año haya una ligera una disminución con respecto al pasado debido a la adaptación a la normativa europea sobre bienestar animal</w:t>
      </w:r>
      <w:r w:rsidR="00F71D2E">
        <w:rPr>
          <w:rFonts w:ascii="Calibri" w:hAnsi="Calibri" w:cs="Calibri"/>
        </w:rPr>
        <w:t xml:space="preserve"> y la reducción de las exportaciones a Rusia</w:t>
      </w:r>
      <w:r>
        <w:rPr>
          <w:rFonts w:ascii="Calibri" w:hAnsi="Calibri" w:cs="Calibri"/>
        </w:rPr>
        <w:t xml:space="preserve">. </w:t>
      </w:r>
      <w:r w:rsidR="00F71D2E">
        <w:rPr>
          <w:rFonts w:ascii="Calibri" w:hAnsi="Calibri" w:cs="Calibri"/>
        </w:rPr>
        <w:t>“Para 2014 se prevé una leve recuperación del sector y que se incremente la cifra de producción”, asegura el director de ANPROGAPOR</w:t>
      </w:r>
    </w:p>
    <w:p w:rsidR="006F6E50" w:rsidRPr="00517FE5" w:rsidRDefault="00517FE5" w:rsidP="002D0D0B">
      <w:pPr>
        <w:pStyle w:val="heditorfirstjustify"/>
        <w:rPr>
          <w:rFonts w:ascii="Calibri" w:hAnsi="Calibri" w:cs="Calibri"/>
          <w:b/>
        </w:rPr>
      </w:pPr>
      <w:r w:rsidRPr="00517FE5">
        <w:rPr>
          <w:rFonts w:ascii="Calibri" w:hAnsi="Calibri" w:cs="Calibri"/>
          <w:b/>
        </w:rPr>
        <w:t xml:space="preserve">Un sector </w:t>
      </w:r>
      <w:r>
        <w:rPr>
          <w:rFonts w:ascii="Calibri" w:hAnsi="Calibri" w:cs="Calibri"/>
          <w:b/>
        </w:rPr>
        <w:t>de gran valor añadido para</w:t>
      </w:r>
      <w:r w:rsidRPr="00517FE5">
        <w:rPr>
          <w:rFonts w:ascii="Calibri" w:hAnsi="Calibri" w:cs="Calibri"/>
          <w:b/>
        </w:rPr>
        <w:t xml:space="preserve"> la economía</w:t>
      </w:r>
    </w:p>
    <w:p w:rsidR="000269D6" w:rsidRDefault="000269D6" w:rsidP="002D0D0B">
      <w:pPr>
        <w:pStyle w:val="heditorfirstjustify"/>
        <w:rPr>
          <w:rFonts w:ascii="Calibri" w:hAnsi="Calibri" w:cs="Calibri"/>
        </w:rPr>
      </w:pPr>
      <w:r>
        <w:rPr>
          <w:rFonts w:ascii="Calibri" w:hAnsi="Calibri" w:cs="Calibri"/>
        </w:rPr>
        <w:t xml:space="preserve">España </w:t>
      </w:r>
      <w:r w:rsidR="00517FE5">
        <w:rPr>
          <w:rFonts w:ascii="Calibri" w:hAnsi="Calibri" w:cs="Calibri"/>
        </w:rPr>
        <w:t>es uno de los</w:t>
      </w:r>
      <w:r>
        <w:rPr>
          <w:rFonts w:ascii="Calibri" w:hAnsi="Calibri" w:cs="Calibri"/>
        </w:rPr>
        <w:t xml:space="preserve"> países </w:t>
      </w:r>
      <w:r w:rsidR="00517FE5">
        <w:rPr>
          <w:rFonts w:ascii="Calibri" w:hAnsi="Calibri" w:cs="Calibri"/>
        </w:rPr>
        <w:t>con mayor índice de exportación</w:t>
      </w:r>
      <w:r>
        <w:rPr>
          <w:rFonts w:ascii="Calibri" w:hAnsi="Calibri" w:cs="Calibri"/>
        </w:rPr>
        <w:t xml:space="preserve"> carne de cerdo, tanto es </w:t>
      </w:r>
      <w:r w:rsidR="002B1AC0">
        <w:rPr>
          <w:rFonts w:ascii="Calibri" w:hAnsi="Calibri" w:cs="Calibri"/>
        </w:rPr>
        <w:t>así que pod</w:t>
      </w:r>
      <w:r w:rsidR="00F71D2E">
        <w:rPr>
          <w:rFonts w:ascii="Calibri" w:hAnsi="Calibri" w:cs="Calibri"/>
        </w:rPr>
        <w:t>ríamos</w:t>
      </w:r>
      <w:r w:rsidR="002B1AC0">
        <w:rPr>
          <w:rFonts w:ascii="Calibri" w:hAnsi="Calibri" w:cs="Calibri"/>
        </w:rPr>
        <w:t xml:space="preserve"> decir que es uno de los pilares en los que se sostiene el sector primario en España</w:t>
      </w:r>
      <w:r>
        <w:rPr>
          <w:rFonts w:ascii="Calibri" w:hAnsi="Calibri" w:cs="Calibri"/>
        </w:rPr>
        <w:t xml:space="preserve">. De hecho, </w:t>
      </w:r>
      <w:r w:rsidR="002B1AC0">
        <w:rPr>
          <w:rFonts w:ascii="Calibri" w:hAnsi="Calibri" w:cs="Calibri"/>
        </w:rPr>
        <w:t>la</w:t>
      </w:r>
      <w:r>
        <w:rPr>
          <w:rFonts w:ascii="Calibri" w:hAnsi="Calibri" w:cs="Calibri"/>
        </w:rPr>
        <w:t xml:space="preserve"> </w:t>
      </w:r>
      <w:r w:rsidR="002B1AC0">
        <w:rPr>
          <w:rFonts w:ascii="Calibri" w:hAnsi="Calibri" w:cs="Calibri"/>
        </w:rPr>
        <w:t>producción de porcino se ha convertido en el primer sector ganadero del país, con una producción final de 6.000 millones de euros al año.</w:t>
      </w:r>
    </w:p>
    <w:p w:rsidR="006F6E50" w:rsidRDefault="006F6E50" w:rsidP="002D0D0B">
      <w:pPr>
        <w:pStyle w:val="heditorfirstjustify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Este sector engloba el 37% de la producción final ganadera y el 14% de la producción agrícola total.</w:t>
      </w:r>
      <w:r w:rsidR="00517FE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trata de un sector que aporta un </w:t>
      </w:r>
      <w:r w:rsidR="00517FE5">
        <w:rPr>
          <w:rFonts w:ascii="Calibri" w:hAnsi="Calibri" w:cs="Calibri"/>
        </w:rPr>
        <w:t xml:space="preserve">enorme </w:t>
      </w:r>
      <w:r>
        <w:rPr>
          <w:rFonts w:ascii="Calibri" w:hAnsi="Calibri" w:cs="Calibri"/>
        </w:rPr>
        <w:t>valor a la economía de nuestro país, puesto que ju</w:t>
      </w:r>
      <w:r w:rsidR="00517FE5">
        <w:rPr>
          <w:rFonts w:ascii="Calibri" w:hAnsi="Calibri" w:cs="Calibri"/>
        </w:rPr>
        <w:t>n</w:t>
      </w:r>
      <w:r>
        <w:rPr>
          <w:rFonts w:ascii="Calibri" w:hAnsi="Calibri" w:cs="Calibri"/>
        </w:rPr>
        <w:t>to a la actividad netamente productiva</w:t>
      </w:r>
      <w:r w:rsidR="00517FE5">
        <w:rPr>
          <w:rFonts w:ascii="Calibri" w:hAnsi="Calibri" w:cs="Calibri"/>
        </w:rPr>
        <w:t xml:space="preserve"> de carne de cerdo, </w:t>
      </w:r>
      <w:r>
        <w:rPr>
          <w:rFonts w:ascii="Calibri" w:hAnsi="Calibri" w:cs="Calibri"/>
        </w:rPr>
        <w:t xml:space="preserve"> se incluyen otra serie de actividades </w:t>
      </w:r>
      <w:r w:rsidR="000269D6">
        <w:rPr>
          <w:rFonts w:ascii="Calibri" w:hAnsi="Calibri" w:cs="Calibri"/>
        </w:rPr>
        <w:t>de transformación y distribución del producto hasta hacerlo llegar al consumidor.</w:t>
      </w:r>
    </w:p>
    <w:p w:rsidR="004E37B2" w:rsidRPr="00BA35CA" w:rsidRDefault="003C5467" w:rsidP="00A10390">
      <w:pPr>
        <w:pStyle w:val="heditorfirstjustify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S</w:t>
      </w:r>
      <w:r w:rsidR="004E37B2" w:rsidRPr="00BA35CA">
        <w:rPr>
          <w:rFonts w:ascii="Calibri" w:hAnsi="Calibri" w:cs="Calibri"/>
          <w:b/>
          <w:bCs/>
          <w:u w:val="single"/>
        </w:rPr>
        <w:t>obre la Plataforma Tecnológica de Agricultura Sostenible</w:t>
      </w:r>
    </w:p>
    <w:p w:rsidR="004E37B2" w:rsidRPr="00BA35CA" w:rsidRDefault="004E37B2" w:rsidP="00065552">
      <w:pPr>
        <w:spacing w:line="240" w:lineRule="auto"/>
        <w:jc w:val="both"/>
        <w:rPr>
          <w:rFonts w:cs="Calibri"/>
          <w:b/>
          <w:sz w:val="24"/>
          <w:szCs w:val="24"/>
          <w:u w:val="single"/>
        </w:rPr>
      </w:pPr>
      <w:r w:rsidRPr="00BA35CA">
        <w:rPr>
          <w:rFonts w:cs="Calibri"/>
          <w:sz w:val="24"/>
          <w:szCs w:val="24"/>
        </w:rPr>
        <w:t>Nació en 2009, a partir de la Orden CIN/1728/2009, como un foro de trabajo, para el intercambio de información y conocimiento</w:t>
      </w:r>
      <w:r w:rsidRPr="00BA35CA">
        <w:rPr>
          <w:rFonts w:cs="Calibri"/>
          <w:color w:val="FF0000"/>
          <w:sz w:val="24"/>
          <w:szCs w:val="24"/>
        </w:rPr>
        <w:t xml:space="preserve"> </w:t>
      </w:r>
      <w:r w:rsidRPr="00BA35CA">
        <w:rPr>
          <w:rFonts w:cs="Calibri"/>
          <w:sz w:val="24"/>
          <w:szCs w:val="24"/>
        </w:rPr>
        <w:t>y para mejorar la percepción de las  tecnologías aplicadas a las áreas agrícola y ganadera. Ha recibido el apoyo de diversas instituciones</w:t>
      </w:r>
      <w:r w:rsidRPr="00BA35CA">
        <w:rPr>
          <w:rFonts w:cs="Calibri"/>
          <w:color w:val="FF0000"/>
          <w:sz w:val="24"/>
          <w:szCs w:val="24"/>
        </w:rPr>
        <w:t xml:space="preserve"> </w:t>
      </w:r>
      <w:r w:rsidRPr="00BA35CA">
        <w:rPr>
          <w:rFonts w:cs="Calibri"/>
          <w:sz w:val="24"/>
          <w:szCs w:val="24"/>
        </w:rPr>
        <w:t xml:space="preserve"> y está financiada por el MINECO.</w:t>
      </w:r>
    </w:p>
    <w:p w:rsidR="004E37B2" w:rsidRPr="00BA35CA" w:rsidRDefault="004E37B2" w:rsidP="00065552">
      <w:pPr>
        <w:spacing w:line="240" w:lineRule="auto"/>
        <w:jc w:val="both"/>
        <w:rPr>
          <w:rFonts w:cs="Calibri"/>
          <w:b/>
          <w:sz w:val="24"/>
          <w:szCs w:val="24"/>
          <w:u w:val="single"/>
        </w:rPr>
      </w:pPr>
      <w:r w:rsidRPr="00BA35CA">
        <w:rPr>
          <w:rFonts w:cs="Calibri"/>
          <w:sz w:val="24"/>
          <w:szCs w:val="24"/>
        </w:rPr>
        <w:t>La Plataforma Tecnológica entiende la agricultura sostenible como un modelo irrenunciable e incuestionable, con el que satisfacer las necesidades alimentarias actuales de los ciudadanos, garantizando la eficiencia</w:t>
      </w:r>
      <w:r w:rsidRPr="00BA35CA">
        <w:rPr>
          <w:rFonts w:cs="Calibri"/>
          <w:color w:val="FF0000"/>
          <w:sz w:val="24"/>
          <w:szCs w:val="24"/>
        </w:rPr>
        <w:t xml:space="preserve"> </w:t>
      </w:r>
      <w:r w:rsidRPr="00BA35CA">
        <w:rPr>
          <w:rFonts w:cs="Calibri"/>
          <w:sz w:val="24"/>
          <w:szCs w:val="24"/>
        </w:rPr>
        <w:t xml:space="preserve">productiva, la calidad de los productos y la seguridad alimentaria. </w:t>
      </w:r>
    </w:p>
    <w:p w:rsidR="004E37B2" w:rsidRPr="00BA35CA" w:rsidRDefault="004E37B2" w:rsidP="00065552">
      <w:pPr>
        <w:spacing w:line="240" w:lineRule="auto"/>
        <w:jc w:val="both"/>
        <w:rPr>
          <w:rFonts w:cs="Calibri"/>
          <w:sz w:val="24"/>
          <w:szCs w:val="24"/>
        </w:rPr>
      </w:pPr>
      <w:r w:rsidRPr="00BA35CA">
        <w:rPr>
          <w:rFonts w:cs="Calibri"/>
          <w:sz w:val="24"/>
          <w:szCs w:val="24"/>
        </w:rPr>
        <w:t>Para ello, es imprescindible el apoyo institucional tanto al avance tecnológico y a la investigación, como</w:t>
      </w:r>
      <w:r w:rsidRPr="00BA35CA">
        <w:rPr>
          <w:rFonts w:cs="Calibri"/>
          <w:color w:val="FF0000"/>
          <w:sz w:val="24"/>
          <w:szCs w:val="24"/>
        </w:rPr>
        <w:t xml:space="preserve"> </w:t>
      </w:r>
      <w:r w:rsidRPr="00BA35CA">
        <w:rPr>
          <w:rFonts w:cs="Calibri"/>
          <w:sz w:val="24"/>
          <w:szCs w:val="24"/>
        </w:rPr>
        <w:t>a la elaboración de un marco legislativo adecuado que posibilite la aplicación de estos avances.</w:t>
      </w:r>
    </w:p>
    <w:p w:rsidR="004E37B2" w:rsidRPr="00BA35CA" w:rsidRDefault="004E37B2" w:rsidP="00065552">
      <w:pPr>
        <w:spacing w:line="240" w:lineRule="auto"/>
        <w:jc w:val="both"/>
        <w:rPr>
          <w:rFonts w:cs="Calibri"/>
          <w:sz w:val="24"/>
          <w:szCs w:val="24"/>
        </w:rPr>
      </w:pPr>
      <w:r w:rsidRPr="00BA35CA">
        <w:rPr>
          <w:rFonts w:cs="Calibri"/>
          <w:sz w:val="24"/>
          <w:szCs w:val="24"/>
        </w:rPr>
        <w:t xml:space="preserve">El futuro del sector se cimenta en la investigación y el desarrollo tecnológico que contribuya al incremento de la productividad agroalimentaria a la vez que se asegure el mantenimiento y buen uso de los recursos naturales existentes, sin la renuncia del acceso por parte de los ciudadanos, con independencia de su clase social y situación económica, a alimentos con vistas a una dieta variada y a un precio asequible. </w:t>
      </w:r>
    </w:p>
    <w:p w:rsidR="007D603D" w:rsidRDefault="007D603D" w:rsidP="00065552">
      <w:pPr>
        <w:spacing w:line="240" w:lineRule="auto"/>
        <w:jc w:val="right"/>
        <w:rPr>
          <w:rFonts w:cs="Calibri"/>
          <w:b/>
        </w:rPr>
      </w:pPr>
    </w:p>
    <w:p w:rsidR="004E37B2" w:rsidRPr="00C26D01" w:rsidRDefault="004E37B2" w:rsidP="00065552">
      <w:pPr>
        <w:spacing w:line="240" w:lineRule="auto"/>
        <w:jc w:val="right"/>
        <w:rPr>
          <w:rFonts w:cs="Calibri"/>
          <w:b/>
        </w:rPr>
      </w:pPr>
      <w:r w:rsidRPr="00C26D01">
        <w:rPr>
          <w:rFonts w:cs="Calibri"/>
          <w:b/>
        </w:rPr>
        <w:t xml:space="preserve">Para más información: </w:t>
      </w:r>
    </w:p>
    <w:p w:rsidR="004E37B2" w:rsidRPr="00C26D01" w:rsidRDefault="003C5467" w:rsidP="00065552">
      <w:pPr>
        <w:spacing w:line="240" w:lineRule="auto"/>
        <w:jc w:val="right"/>
        <w:rPr>
          <w:rFonts w:cs="Calibri"/>
        </w:rPr>
      </w:pPr>
      <w:r>
        <w:rPr>
          <w:rFonts w:cs="Calibri"/>
        </w:rPr>
        <w:t>Teresa del Pozo</w:t>
      </w:r>
    </w:p>
    <w:p w:rsidR="004E37B2" w:rsidRPr="00C26D01" w:rsidRDefault="004E37B2" w:rsidP="00065552">
      <w:pPr>
        <w:spacing w:line="240" w:lineRule="auto"/>
        <w:jc w:val="right"/>
        <w:rPr>
          <w:rFonts w:cs="Calibri"/>
        </w:rPr>
      </w:pPr>
      <w:r w:rsidRPr="00C26D01">
        <w:rPr>
          <w:rFonts w:cs="Calibri"/>
        </w:rPr>
        <w:t xml:space="preserve">comunicacion@agriculturasostenible.org </w:t>
      </w:r>
    </w:p>
    <w:p w:rsidR="004E37B2" w:rsidRDefault="004E37B2" w:rsidP="00085B6C">
      <w:pPr>
        <w:spacing w:line="240" w:lineRule="auto"/>
        <w:jc w:val="right"/>
        <w:rPr>
          <w:rFonts w:cs="Calibri"/>
        </w:rPr>
      </w:pPr>
      <w:r w:rsidRPr="00C26D01">
        <w:rPr>
          <w:rFonts w:cs="Calibri"/>
        </w:rPr>
        <w:t xml:space="preserve">Teléfono: </w:t>
      </w:r>
      <w:r w:rsidR="003C5467">
        <w:rPr>
          <w:rFonts w:cs="Calibri"/>
        </w:rPr>
        <w:t xml:space="preserve"> </w:t>
      </w:r>
      <w:r w:rsidRPr="00C26D01">
        <w:rPr>
          <w:rFonts w:cs="Calibri"/>
        </w:rPr>
        <w:t>91</w:t>
      </w:r>
      <w:r w:rsidR="003C5467">
        <w:rPr>
          <w:rFonts w:cs="Calibri"/>
        </w:rPr>
        <w:t xml:space="preserve"> 360 53 39/ 673 518 853 </w:t>
      </w:r>
    </w:p>
    <w:p w:rsidR="00061B89" w:rsidRPr="005F6BDB" w:rsidRDefault="00AD4046" w:rsidP="00085B6C">
      <w:pPr>
        <w:spacing w:line="240" w:lineRule="auto"/>
        <w:jc w:val="right"/>
        <w:rPr>
          <w:rFonts w:cs="Calibri"/>
        </w:rPr>
      </w:pPr>
      <w:hyperlink r:id="rId7" w:history="1">
        <w:r w:rsidR="00061B89" w:rsidRPr="00786898">
          <w:rPr>
            <w:rStyle w:val="Hipervnculo"/>
            <w:rFonts w:cs="Calibri"/>
          </w:rPr>
          <w:t>@agrsostenible</w:t>
        </w:r>
      </w:hyperlink>
    </w:p>
    <w:sectPr w:rsidR="00061B89" w:rsidRPr="005F6BDB" w:rsidSect="00D85FCD">
      <w:pgSz w:w="11906" w:h="16838"/>
      <w:pgMar w:top="1417" w:right="1701" w:bottom="1417" w:left="1701" w:header="708" w:footer="708" w:gutter="0"/>
      <w:pgBorders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CC4C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A30CE"/>
    <w:multiLevelType w:val="hybridMultilevel"/>
    <w:tmpl w:val="D0BC5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B3416"/>
    <w:multiLevelType w:val="hybridMultilevel"/>
    <w:tmpl w:val="C5BC5156"/>
    <w:lvl w:ilvl="0" w:tplc="A55AE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5449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4387EB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AE4D0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2681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1813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98CFD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98CA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E822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8C5F17"/>
    <w:multiLevelType w:val="multilevel"/>
    <w:tmpl w:val="81D4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305862"/>
    <w:multiLevelType w:val="hybridMultilevel"/>
    <w:tmpl w:val="F4AE4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122AA"/>
    <w:multiLevelType w:val="hybridMultilevel"/>
    <w:tmpl w:val="BE7E7070"/>
    <w:lvl w:ilvl="0" w:tplc="B1C2CF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77BD9"/>
    <w:multiLevelType w:val="multilevel"/>
    <w:tmpl w:val="F4F8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50D4E"/>
    <w:multiLevelType w:val="hybridMultilevel"/>
    <w:tmpl w:val="0F5479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0A1"/>
    <w:rsid w:val="00003572"/>
    <w:rsid w:val="00007321"/>
    <w:rsid w:val="00007DF9"/>
    <w:rsid w:val="000159C6"/>
    <w:rsid w:val="00021BD1"/>
    <w:rsid w:val="00021DCF"/>
    <w:rsid w:val="000246FA"/>
    <w:rsid w:val="00024CFF"/>
    <w:rsid w:val="00025A91"/>
    <w:rsid w:val="00025B19"/>
    <w:rsid w:val="000269D6"/>
    <w:rsid w:val="00030A77"/>
    <w:rsid w:val="00034E35"/>
    <w:rsid w:val="00036AC1"/>
    <w:rsid w:val="00036C4A"/>
    <w:rsid w:val="00044B40"/>
    <w:rsid w:val="000458F6"/>
    <w:rsid w:val="00047E35"/>
    <w:rsid w:val="000557B3"/>
    <w:rsid w:val="00056FF0"/>
    <w:rsid w:val="00061B89"/>
    <w:rsid w:val="00062C2A"/>
    <w:rsid w:val="00063685"/>
    <w:rsid w:val="00063703"/>
    <w:rsid w:val="00065552"/>
    <w:rsid w:val="00080D0C"/>
    <w:rsid w:val="00082841"/>
    <w:rsid w:val="00085B6C"/>
    <w:rsid w:val="00085DF9"/>
    <w:rsid w:val="00087044"/>
    <w:rsid w:val="000951A5"/>
    <w:rsid w:val="00096E67"/>
    <w:rsid w:val="0009785C"/>
    <w:rsid w:val="000A4421"/>
    <w:rsid w:val="000A54B4"/>
    <w:rsid w:val="000A5DB2"/>
    <w:rsid w:val="000A6126"/>
    <w:rsid w:val="000B453F"/>
    <w:rsid w:val="000B62E3"/>
    <w:rsid w:val="000C1FD4"/>
    <w:rsid w:val="000C2E7D"/>
    <w:rsid w:val="000D5423"/>
    <w:rsid w:val="000E15EA"/>
    <w:rsid w:val="000E18F6"/>
    <w:rsid w:val="000E24AB"/>
    <w:rsid w:val="000E52B3"/>
    <w:rsid w:val="000E750F"/>
    <w:rsid w:val="000E7E59"/>
    <w:rsid w:val="000F5A76"/>
    <w:rsid w:val="000F6EBF"/>
    <w:rsid w:val="001026F8"/>
    <w:rsid w:val="00105B30"/>
    <w:rsid w:val="0010643F"/>
    <w:rsid w:val="00106C88"/>
    <w:rsid w:val="00107399"/>
    <w:rsid w:val="001100A1"/>
    <w:rsid w:val="00112D22"/>
    <w:rsid w:val="00117ADA"/>
    <w:rsid w:val="001243FC"/>
    <w:rsid w:val="001244F9"/>
    <w:rsid w:val="0013392A"/>
    <w:rsid w:val="001404EC"/>
    <w:rsid w:val="00154452"/>
    <w:rsid w:val="0015464D"/>
    <w:rsid w:val="00156F0F"/>
    <w:rsid w:val="00183FFE"/>
    <w:rsid w:val="00192D3D"/>
    <w:rsid w:val="00194363"/>
    <w:rsid w:val="001954EE"/>
    <w:rsid w:val="00195E55"/>
    <w:rsid w:val="00196C9D"/>
    <w:rsid w:val="001A1F4E"/>
    <w:rsid w:val="001A25BC"/>
    <w:rsid w:val="001A6B98"/>
    <w:rsid w:val="001B0FB1"/>
    <w:rsid w:val="001B1B00"/>
    <w:rsid w:val="001B6BF1"/>
    <w:rsid w:val="001C53B4"/>
    <w:rsid w:val="001C6666"/>
    <w:rsid w:val="001D4851"/>
    <w:rsid w:val="001E1709"/>
    <w:rsid w:val="001F1DF3"/>
    <w:rsid w:val="001F4586"/>
    <w:rsid w:val="001F773E"/>
    <w:rsid w:val="00203463"/>
    <w:rsid w:val="00205D17"/>
    <w:rsid w:val="0021673E"/>
    <w:rsid w:val="0022413D"/>
    <w:rsid w:val="002327C4"/>
    <w:rsid w:val="002372C0"/>
    <w:rsid w:val="00242021"/>
    <w:rsid w:val="00247792"/>
    <w:rsid w:val="00260E22"/>
    <w:rsid w:val="00267E46"/>
    <w:rsid w:val="00273816"/>
    <w:rsid w:val="002745CA"/>
    <w:rsid w:val="002813B8"/>
    <w:rsid w:val="002A1129"/>
    <w:rsid w:val="002A5293"/>
    <w:rsid w:val="002B0C67"/>
    <w:rsid w:val="002B1AC0"/>
    <w:rsid w:val="002B651B"/>
    <w:rsid w:val="002B6780"/>
    <w:rsid w:val="002C1859"/>
    <w:rsid w:val="002C6C2F"/>
    <w:rsid w:val="002D0D0B"/>
    <w:rsid w:val="002E48AE"/>
    <w:rsid w:val="002E7AA7"/>
    <w:rsid w:val="002F6F02"/>
    <w:rsid w:val="003140CE"/>
    <w:rsid w:val="00316A1F"/>
    <w:rsid w:val="003214EC"/>
    <w:rsid w:val="00327B35"/>
    <w:rsid w:val="00334C99"/>
    <w:rsid w:val="0033556B"/>
    <w:rsid w:val="00337F66"/>
    <w:rsid w:val="00341619"/>
    <w:rsid w:val="00351E2B"/>
    <w:rsid w:val="003629D9"/>
    <w:rsid w:val="0036509C"/>
    <w:rsid w:val="00367135"/>
    <w:rsid w:val="003844A4"/>
    <w:rsid w:val="00390AA3"/>
    <w:rsid w:val="00395509"/>
    <w:rsid w:val="00396C8D"/>
    <w:rsid w:val="003A122F"/>
    <w:rsid w:val="003A359F"/>
    <w:rsid w:val="003B1C0A"/>
    <w:rsid w:val="003B2D09"/>
    <w:rsid w:val="003B4F1A"/>
    <w:rsid w:val="003C39D0"/>
    <w:rsid w:val="003C415D"/>
    <w:rsid w:val="003C5467"/>
    <w:rsid w:val="003C7598"/>
    <w:rsid w:val="003D3DE1"/>
    <w:rsid w:val="003D4411"/>
    <w:rsid w:val="003D589E"/>
    <w:rsid w:val="003E614F"/>
    <w:rsid w:val="003F6015"/>
    <w:rsid w:val="004021A5"/>
    <w:rsid w:val="00404B27"/>
    <w:rsid w:val="00413768"/>
    <w:rsid w:val="00414FFA"/>
    <w:rsid w:val="00431E92"/>
    <w:rsid w:val="004335F9"/>
    <w:rsid w:val="00441A20"/>
    <w:rsid w:val="00442B9B"/>
    <w:rsid w:val="00445D33"/>
    <w:rsid w:val="00445E43"/>
    <w:rsid w:val="00461618"/>
    <w:rsid w:val="004655AC"/>
    <w:rsid w:val="00466063"/>
    <w:rsid w:val="004679A4"/>
    <w:rsid w:val="00467C0B"/>
    <w:rsid w:val="00472526"/>
    <w:rsid w:val="00473959"/>
    <w:rsid w:val="0048162F"/>
    <w:rsid w:val="0048685F"/>
    <w:rsid w:val="00486CAC"/>
    <w:rsid w:val="004A10C7"/>
    <w:rsid w:val="004A2790"/>
    <w:rsid w:val="004B46EB"/>
    <w:rsid w:val="004D37E3"/>
    <w:rsid w:val="004E2578"/>
    <w:rsid w:val="004E37B2"/>
    <w:rsid w:val="004E3967"/>
    <w:rsid w:val="004F12B3"/>
    <w:rsid w:val="004F66CF"/>
    <w:rsid w:val="004F7841"/>
    <w:rsid w:val="00500A32"/>
    <w:rsid w:val="00513C34"/>
    <w:rsid w:val="00516B6E"/>
    <w:rsid w:val="00517FE5"/>
    <w:rsid w:val="005309DC"/>
    <w:rsid w:val="00533557"/>
    <w:rsid w:val="00537439"/>
    <w:rsid w:val="005433D5"/>
    <w:rsid w:val="005438BD"/>
    <w:rsid w:val="00551B0F"/>
    <w:rsid w:val="00555FDB"/>
    <w:rsid w:val="00564568"/>
    <w:rsid w:val="00564DEC"/>
    <w:rsid w:val="00566B5B"/>
    <w:rsid w:val="00572878"/>
    <w:rsid w:val="0057293F"/>
    <w:rsid w:val="00593F1C"/>
    <w:rsid w:val="005A2275"/>
    <w:rsid w:val="005A41AE"/>
    <w:rsid w:val="005A68DC"/>
    <w:rsid w:val="005A6C66"/>
    <w:rsid w:val="005B1424"/>
    <w:rsid w:val="005B435F"/>
    <w:rsid w:val="005C031E"/>
    <w:rsid w:val="005C7004"/>
    <w:rsid w:val="005F6BDB"/>
    <w:rsid w:val="005F72F5"/>
    <w:rsid w:val="00601BB2"/>
    <w:rsid w:val="006025D5"/>
    <w:rsid w:val="0060683B"/>
    <w:rsid w:val="0061094D"/>
    <w:rsid w:val="006138AC"/>
    <w:rsid w:val="00620036"/>
    <w:rsid w:val="00620494"/>
    <w:rsid w:val="00623C5F"/>
    <w:rsid w:val="00625366"/>
    <w:rsid w:val="006364EC"/>
    <w:rsid w:val="006450A1"/>
    <w:rsid w:val="00646363"/>
    <w:rsid w:val="006522A8"/>
    <w:rsid w:val="00653650"/>
    <w:rsid w:val="006650F1"/>
    <w:rsid w:val="00666715"/>
    <w:rsid w:val="00667BC2"/>
    <w:rsid w:val="00670B33"/>
    <w:rsid w:val="00672330"/>
    <w:rsid w:val="00673924"/>
    <w:rsid w:val="00696D96"/>
    <w:rsid w:val="00697262"/>
    <w:rsid w:val="0069738D"/>
    <w:rsid w:val="006A2436"/>
    <w:rsid w:val="006A4CAD"/>
    <w:rsid w:val="006A54C2"/>
    <w:rsid w:val="006A7F36"/>
    <w:rsid w:val="006B18E9"/>
    <w:rsid w:val="006B5960"/>
    <w:rsid w:val="006C1B33"/>
    <w:rsid w:val="006C2852"/>
    <w:rsid w:val="006C3CD7"/>
    <w:rsid w:val="006C44EE"/>
    <w:rsid w:val="006C7188"/>
    <w:rsid w:val="006D2332"/>
    <w:rsid w:val="006E180C"/>
    <w:rsid w:val="006E1C38"/>
    <w:rsid w:val="006E7095"/>
    <w:rsid w:val="006F6E50"/>
    <w:rsid w:val="006F70E5"/>
    <w:rsid w:val="007012C3"/>
    <w:rsid w:val="00702579"/>
    <w:rsid w:val="0072530C"/>
    <w:rsid w:val="0072544C"/>
    <w:rsid w:val="00727C0E"/>
    <w:rsid w:val="0074100C"/>
    <w:rsid w:val="00745373"/>
    <w:rsid w:val="00747086"/>
    <w:rsid w:val="00751B87"/>
    <w:rsid w:val="00751E97"/>
    <w:rsid w:val="00751FC5"/>
    <w:rsid w:val="0075525A"/>
    <w:rsid w:val="007553CE"/>
    <w:rsid w:val="00755641"/>
    <w:rsid w:val="007603F5"/>
    <w:rsid w:val="00760BAA"/>
    <w:rsid w:val="007642FC"/>
    <w:rsid w:val="007803D3"/>
    <w:rsid w:val="00786898"/>
    <w:rsid w:val="00790AFB"/>
    <w:rsid w:val="007912EC"/>
    <w:rsid w:val="007917DB"/>
    <w:rsid w:val="007A61E9"/>
    <w:rsid w:val="007B0C42"/>
    <w:rsid w:val="007B2A23"/>
    <w:rsid w:val="007C04C5"/>
    <w:rsid w:val="007C15F1"/>
    <w:rsid w:val="007D603D"/>
    <w:rsid w:val="007E5E49"/>
    <w:rsid w:val="007F41DE"/>
    <w:rsid w:val="00812839"/>
    <w:rsid w:val="00813B78"/>
    <w:rsid w:val="008151D2"/>
    <w:rsid w:val="00816173"/>
    <w:rsid w:val="00817A60"/>
    <w:rsid w:val="008252E7"/>
    <w:rsid w:val="00826B3F"/>
    <w:rsid w:val="008362D1"/>
    <w:rsid w:val="008415BB"/>
    <w:rsid w:val="008515D5"/>
    <w:rsid w:val="00853F21"/>
    <w:rsid w:val="00857F5C"/>
    <w:rsid w:val="0086087A"/>
    <w:rsid w:val="008619A1"/>
    <w:rsid w:val="008631A1"/>
    <w:rsid w:val="0086344C"/>
    <w:rsid w:val="00864367"/>
    <w:rsid w:val="008648EA"/>
    <w:rsid w:val="008678F7"/>
    <w:rsid w:val="0088266C"/>
    <w:rsid w:val="0088632B"/>
    <w:rsid w:val="0089326C"/>
    <w:rsid w:val="00896F4D"/>
    <w:rsid w:val="008A02FF"/>
    <w:rsid w:val="008A1CFC"/>
    <w:rsid w:val="008A7E46"/>
    <w:rsid w:val="008C1C3E"/>
    <w:rsid w:val="008C4DCB"/>
    <w:rsid w:val="008D5B10"/>
    <w:rsid w:val="008D6DEC"/>
    <w:rsid w:val="008D7166"/>
    <w:rsid w:val="008E3DC5"/>
    <w:rsid w:val="008F6957"/>
    <w:rsid w:val="0090239B"/>
    <w:rsid w:val="00906A6C"/>
    <w:rsid w:val="00907C84"/>
    <w:rsid w:val="009121AA"/>
    <w:rsid w:val="00913373"/>
    <w:rsid w:val="00917239"/>
    <w:rsid w:val="00921CDF"/>
    <w:rsid w:val="00930C23"/>
    <w:rsid w:val="0093169E"/>
    <w:rsid w:val="009360AC"/>
    <w:rsid w:val="00944838"/>
    <w:rsid w:val="009470B3"/>
    <w:rsid w:val="00957D3C"/>
    <w:rsid w:val="00964712"/>
    <w:rsid w:val="00977C7A"/>
    <w:rsid w:val="00981047"/>
    <w:rsid w:val="00992671"/>
    <w:rsid w:val="0099607E"/>
    <w:rsid w:val="009B2E6B"/>
    <w:rsid w:val="009D3580"/>
    <w:rsid w:val="009E7528"/>
    <w:rsid w:val="009F18ED"/>
    <w:rsid w:val="009F3CF6"/>
    <w:rsid w:val="00A0467E"/>
    <w:rsid w:val="00A10390"/>
    <w:rsid w:val="00A11053"/>
    <w:rsid w:val="00A247B7"/>
    <w:rsid w:val="00A24B3E"/>
    <w:rsid w:val="00A2592E"/>
    <w:rsid w:val="00A26D4B"/>
    <w:rsid w:val="00A31713"/>
    <w:rsid w:val="00A354AA"/>
    <w:rsid w:val="00A374DF"/>
    <w:rsid w:val="00A37E12"/>
    <w:rsid w:val="00A46D4B"/>
    <w:rsid w:val="00A623AF"/>
    <w:rsid w:val="00A7689A"/>
    <w:rsid w:val="00A91CC7"/>
    <w:rsid w:val="00A92BC2"/>
    <w:rsid w:val="00AA39F8"/>
    <w:rsid w:val="00AA406C"/>
    <w:rsid w:val="00AA7369"/>
    <w:rsid w:val="00AB0A24"/>
    <w:rsid w:val="00AB1F59"/>
    <w:rsid w:val="00AB624D"/>
    <w:rsid w:val="00AC2931"/>
    <w:rsid w:val="00AD4046"/>
    <w:rsid w:val="00AD4063"/>
    <w:rsid w:val="00AE0CF8"/>
    <w:rsid w:val="00AE21C2"/>
    <w:rsid w:val="00AE49E8"/>
    <w:rsid w:val="00AF0C92"/>
    <w:rsid w:val="00AF1CF4"/>
    <w:rsid w:val="00AF4776"/>
    <w:rsid w:val="00B074B4"/>
    <w:rsid w:val="00B105C3"/>
    <w:rsid w:val="00B168F3"/>
    <w:rsid w:val="00B2611F"/>
    <w:rsid w:val="00B42560"/>
    <w:rsid w:val="00B5124F"/>
    <w:rsid w:val="00B54E8C"/>
    <w:rsid w:val="00B56C34"/>
    <w:rsid w:val="00B71BC7"/>
    <w:rsid w:val="00B766A0"/>
    <w:rsid w:val="00B878F3"/>
    <w:rsid w:val="00B95C55"/>
    <w:rsid w:val="00BA35CA"/>
    <w:rsid w:val="00BB48E6"/>
    <w:rsid w:val="00BB5A9C"/>
    <w:rsid w:val="00BC7E4C"/>
    <w:rsid w:val="00BD498A"/>
    <w:rsid w:val="00BE0656"/>
    <w:rsid w:val="00BE6FE6"/>
    <w:rsid w:val="00C04A6D"/>
    <w:rsid w:val="00C07AEF"/>
    <w:rsid w:val="00C11CD9"/>
    <w:rsid w:val="00C159F8"/>
    <w:rsid w:val="00C15BC6"/>
    <w:rsid w:val="00C15D1A"/>
    <w:rsid w:val="00C203ED"/>
    <w:rsid w:val="00C2205B"/>
    <w:rsid w:val="00C26D01"/>
    <w:rsid w:val="00C3769E"/>
    <w:rsid w:val="00C42301"/>
    <w:rsid w:val="00C53835"/>
    <w:rsid w:val="00C560CC"/>
    <w:rsid w:val="00C610D4"/>
    <w:rsid w:val="00C6355A"/>
    <w:rsid w:val="00C710C7"/>
    <w:rsid w:val="00C71B22"/>
    <w:rsid w:val="00C749C0"/>
    <w:rsid w:val="00C77577"/>
    <w:rsid w:val="00C8797C"/>
    <w:rsid w:val="00C9007F"/>
    <w:rsid w:val="00C92B49"/>
    <w:rsid w:val="00C96A06"/>
    <w:rsid w:val="00CA2DFF"/>
    <w:rsid w:val="00CA7FA5"/>
    <w:rsid w:val="00CC2481"/>
    <w:rsid w:val="00CD069B"/>
    <w:rsid w:val="00CD0E39"/>
    <w:rsid w:val="00CD25F9"/>
    <w:rsid w:val="00CE5F4E"/>
    <w:rsid w:val="00CF7EF6"/>
    <w:rsid w:val="00D00005"/>
    <w:rsid w:val="00D02298"/>
    <w:rsid w:val="00D034CF"/>
    <w:rsid w:val="00D06E1D"/>
    <w:rsid w:val="00D144A7"/>
    <w:rsid w:val="00D154ED"/>
    <w:rsid w:val="00D234A0"/>
    <w:rsid w:val="00D3731D"/>
    <w:rsid w:val="00D42D7E"/>
    <w:rsid w:val="00D63631"/>
    <w:rsid w:val="00D66715"/>
    <w:rsid w:val="00D76832"/>
    <w:rsid w:val="00D77E7C"/>
    <w:rsid w:val="00D8211A"/>
    <w:rsid w:val="00D82E78"/>
    <w:rsid w:val="00D85FCD"/>
    <w:rsid w:val="00D901D8"/>
    <w:rsid w:val="00D90987"/>
    <w:rsid w:val="00D95C96"/>
    <w:rsid w:val="00DC1B22"/>
    <w:rsid w:val="00DC2CC3"/>
    <w:rsid w:val="00DC7B15"/>
    <w:rsid w:val="00DD3948"/>
    <w:rsid w:val="00DE307A"/>
    <w:rsid w:val="00DE3E3D"/>
    <w:rsid w:val="00DF59BB"/>
    <w:rsid w:val="00DF73DC"/>
    <w:rsid w:val="00E03275"/>
    <w:rsid w:val="00E05A12"/>
    <w:rsid w:val="00E071BD"/>
    <w:rsid w:val="00E11661"/>
    <w:rsid w:val="00E21DC4"/>
    <w:rsid w:val="00E26C88"/>
    <w:rsid w:val="00E31C55"/>
    <w:rsid w:val="00E32676"/>
    <w:rsid w:val="00E334F7"/>
    <w:rsid w:val="00E335E8"/>
    <w:rsid w:val="00E34D72"/>
    <w:rsid w:val="00E35781"/>
    <w:rsid w:val="00E412BE"/>
    <w:rsid w:val="00E427C7"/>
    <w:rsid w:val="00E46889"/>
    <w:rsid w:val="00E473E5"/>
    <w:rsid w:val="00E537B3"/>
    <w:rsid w:val="00E57DF0"/>
    <w:rsid w:val="00E61404"/>
    <w:rsid w:val="00E636D5"/>
    <w:rsid w:val="00E66C8F"/>
    <w:rsid w:val="00E7079D"/>
    <w:rsid w:val="00E74944"/>
    <w:rsid w:val="00E76A76"/>
    <w:rsid w:val="00EA0F2C"/>
    <w:rsid w:val="00EA2954"/>
    <w:rsid w:val="00EA4A31"/>
    <w:rsid w:val="00EA5B13"/>
    <w:rsid w:val="00EA6D5E"/>
    <w:rsid w:val="00EA701F"/>
    <w:rsid w:val="00EA7A83"/>
    <w:rsid w:val="00EB4EB2"/>
    <w:rsid w:val="00EB701E"/>
    <w:rsid w:val="00EC53D3"/>
    <w:rsid w:val="00ED0128"/>
    <w:rsid w:val="00EE2B0A"/>
    <w:rsid w:val="00EE7C77"/>
    <w:rsid w:val="00EF499F"/>
    <w:rsid w:val="00EF53BC"/>
    <w:rsid w:val="00F07649"/>
    <w:rsid w:val="00F10B78"/>
    <w:rsid w:val="00F1160F"/>
    <w:rsid w:val="00F23585"/>
    <w:rsid w:val="00F31C48"/>
    <w:rsid w:val="00F37E10"/>
    <w:rsid w:val="00F41EA9"/>
    <w:rsid w:val="00F46477"/>
    <w:rsid w:val="00F514F8"/>
    <w:rsid w:val="00F62C86"/>
    <w:rsid w:val="00F71D2E"/>
    <w:rsid w:val="00F741D1"/>
    <w:rsid w:val="00F777BA"/>
    <w:rsid w:val="00F947C6"/>
    <w:rsid w:val="00FB7B03"/>
    <w:rsid w:val="00FD1451"/>
    <w:rsid w:val="00FE4CA3"/>
    <w:rsid w:val="00FE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E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5F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85F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0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8A02F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3-nfasis5">
    <w:name w:val="Medium Grid 3 Accent 5"/>
    <w:basedOn w:val="Tablanormal"/>
    <w:uiPriority w:val="60"/>
    <w:rsid w:val="008A02F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4">
    <w:name w:val="Light Shading Accent 4"/>
    <w:basedOn w:val="Tablanormal"/>
    <w:uiPriority w:val="65"/>
    <w:rsid w:val="008A02FF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eastAsia="Times New Roman" w:hAnsi="Tms Rm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character" w:styleId="Hipervnculo">
    <w:name w:val="Hyperlink"/>
    <w:uiPriority w:val="99"/>
    <w:unhideWhenUsed/>
    <w:rsid w:val="000F5A76"/>
    <w:rPr>
      <w:rFonts w:cs="Times New Roman"/>
      <w:color w:val="0000FF"/>
      <w:u w:val="single"/>
    </w:rPr>
  </w:style>
  <w:style w:type="character" w:styleId="nfasis">
    <w:name w:val="Emphasis"/>
    <w:uiPriority w:val="20"/>
    <w:qFormat/>
    <w:rsid w:val="00F741D1"/>
    <w:rPr>
      <w:rFonts w:cs="Times New Roman"/>
      <w:i/>
      <w:iCs/>
    </w:rPr>
  </w:style>
  <w:style w:type="character" w:customStyle="1" w:styleId="st1">
    <w:name w:val="st1"/>
    <w:rsid w:val="007C04C5"/>
    <w:rPr>
      <w:rFonts w:cs="Times New Roman"/>
    </w:rPr>
  </w:style>
  <w:style w:type="paragraph" w:customStyle="1" w:styleId="heditorfirstjustify">
    <w:name w:val="heditor_first_justify"/>
    <w:basedOn w:val="Normal"/>
    <w:rsid w:val="00085DF9"/>
    <w:pPr>
      <w:spacing w:after="100" w:afterAutospacing="1" w:line="240" w:lineRule="auto"/>
      <w:jc w:val="both"/>
    </w:pPr>
    <w:rPr>
      <w:rFonts w:ascii="Times New Roman" w:hAnsi="Times New Roman"/>
      <w:sz w:val="24"/>
      <w:szCs w:val="24"/>
      <w:lang w:eastAsia="es-ES"/>
    </w:rPr>
  </w:style>
  <w:style w:type="paragraph" w:customStyle="1" w:styleId="heditorjustify">
    <w:name w:val="heditor_justify"/>
    <w:basedOn w:val="Normal"/>
    <w:rsid w:val="00085DF9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es-ES"/>
    </w:rPr>
  </w:style>
  <w:style w:type="paragraph" w:customStyle="1" w:styleId="heditorfirstcenter">
    <w:name w:val="heditor_first_center"/>
    <w:basedOn w:val="Normal"/>
    <w:rsid w:val="00C2205B"/>
    <w:pPr>
      <w:spacing w:after="100" w:afterAutospacing="1" w:line="240" w:lineRule="auto"/>
      <w:jc w:val="center"/>
    </w:pPr>
    <w:rPr>
      <w:rFonts w:ascii="Times New Roman" w:hAnsi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671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1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1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0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9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83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9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01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13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012">
      <w:marLeft w:val="0"/>
      <w:marRight w:val="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3000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30001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3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3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3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13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13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witter.com/AgrSostenib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ADB6D-4240-4EF9-817F-31C18368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1108</Words>
  <Characters>5794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6889</CharactersWithSpaces>
  <SharedDoc>false</SharedDoc>
  <HLinks>
    <vt:vector size="6" baseType="variant"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http://twitter.com/AgrSostenible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26</cp:revision>
  <cp:lastPrinted>2013-06-10T09:16:00Z</cp:lastPrinted>
  <dcterms:created xsi:type="dcterms:W3CDTF">2013-11-07T15:13:00Z</dcterms:created>
  <dcterms:modified xsi:type="dcterms:W3CDTF">2013-11-26T11:52:00Z</dcterms:modified>
</cp:coreProperties>
</file>