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A2" w:rsidRDefault="002A15A2" w:rsidP="002A15A2">
      <w:pPr>
        <w:rPr>
          <w:szCs w:val="20"/>
        </w:rPr>
      </w:pPr>
    </w:p>
    <w:p w:rsidR="002E1E78" w:rsidRDefault="002E1E78" w:rsidP="002A15A2">
      <w:pPr>
        <w:rPr>
          <w:szCs w:val="20"/>
        </w:rPr>
      </w:pPr>
    </w:p>
    <w:p w:rsidR="00960279" w:rsidRDefault="002A15A2" w:rsidP="002A15A2">
      <w:pPr>
        <w:pBdr>
          <w:top w:val="single" w:sz="4" w:space="1" w:color="auto"/>
          <w:left w:val="single" w:sz="4" w:space="4" w:color="auto"/>
          <w:bottom w:val="single" w:sz="4" w:space="1" w:color="auto"/>
          <w:right w:val="single" w:sz="4" w:space="4" w:color="auto"/>
        </w:pBdr>
        <w:jc w:val="center"/>
        <w:rPr>
          <w:rFonts w:ascii="Verdana" w:hAnsi="Verdana"/>
          <w:b/>
          <w:color w:val="FF0000"/>
          <w:sz w:val="32"/>
          <w:szCs w:val="32"/>
        </w:rPr>
      </w:pPr>
      <w:r w:rsidRPr="00B75530">
        <w:rPr>
          <w:rFonts w:ascii="Verdana" w:hAnsi="Verdana"/>
          <w:b/>
          <w:color w:val="FF0000"/>
          <w:sz w:val="32"/>
          <w:szCs w:val="32"/>
        </w:rPr>
        <w:t xml:space="preserve">BALANCE AGRARIO </w:t>
      </w:r>
      <w:r w:rsidR="00960279">
        <w:rPr>
          <w:rFonts w:ascii="Verdana" w:hAnsi="Verdana"/>
          <w:b/>
          <w:color w:val="FF0000"/>
          <w:sz w:val="32"/>
          <w:szCs w:val="32"/>
        </w:rPr>
        <w:t>DE SECTORES</w:t>
      </w:r>
    </w:p>
    <w:p w:rsidR="002A15A2" w:rsidRPr="00B75530" w:rsidRDefault="00960279" w:rsidP="002A15A2">
      <w:pPr>
        <w:pBdr>
          <w:top w:val="single" w:sz="4" w:space="1" w:color="auto"/>
          <w:left w:val="single" w:sz="4" w:space="4" w:color="auto"/>
          <w:bottom w:val="single" w:sz="4" w:space="1" w:color="auto"/>
          <w:right w:val="single" w:sz="4" w:space="4" w:color="auto"/>
        </w:pBdr>
        <w:jc w:val="center"/>
        <w:rPr>
          <w:rFonts w:ascii="Verdana" w:hAnsi="Verdana"/>
          <w:b/>
          <w:color w:val="FF0000"/>
          <w:sz w:val="32"/>
          <w:szCs w:val="32"/>
        </w:rPr>
      </w:pPr>
      <w:r>
        <w:rPr>
          <w:rFonts w:ascii="Verdana" w:hAnsi="Verdana"/>
          <w:b/>
          <w:color w:val="FF0000"/>
          <w:sz w:val="32"/>
          <w:szCs w:val="32"/>
        </w:rPr>
        <w:t xml:space="preserve">EN </w:t>
      </w:r>
      <w:r w:rsidR="002A15A2" w:rsidRPr="00B75530">
        <w:rPr>
          <w:rFonts w:ascii="Verdana" w:hAnsi="Verdana"/>
          <w:b/>
          <w:color w:val="FF0000"/>
          <w:sz w:val="32"/>
          <w:szCs w:val="32"/>
        </w:rPr>
        <w:t>201</w:t>
      </w:r>
      <w:r w:rsidR="00AB54A3">
        <w:rPr>
          <w:rFonts w:ascii="Verdana" w:hAnsi="Verdana"/>
          <w:b/>
          <w:color w:val="FF0000"/>
          <w:sz w:val="32"/>
          <w:szCs w:val="32"/>
        </w:rPr>
        <w:t>3</w:t>
      </w:r>
      <w:r w:rsidR="002A15A2" w:rsidRPr="00B75530">
        <w:rPr>
          <w:rFonts w:ascii="Verdana" w:hAnsi="Verdana"/>
          <w:b/>
          <w:color w:val="FF0000"/>
          <w:sz w:val="32"/>
          <w:szCs w:val="32"/>
        </w:rPr>
        <w:t xml:space="preserve"> EN CASTILLA Y LEÓN</w:t>
      </w:r>
    </w:p>
    <w:p w:rsidR="002A15A2" w:rsidRDefault="002A15A2" w:rsidP="002A15A2">
      <w:pPr>
        <w:rPr>
          <w:rFonts w:ascii="Verdana" w:hAnsi="Verdana"/>
          <w:szCs w:val="20"/>
        </w:rPr>
      </w:pPr>
    </w:p>
    <w:p w:rsidR="002E1E78" w:rsidRDefault="002E1E78" w:rsidP="0065444A">
      <w:pPr>
        <w:autoSpaceDE w:val="0"/>
        <w:autoSpaceDN w:val="0"/>
        <w:adjustRightInd w:val="0"/>
        <w:jc w:val="both"/>
        <w:rPr>
          <w:rFonts w:ascii="Arial Narrow" w:hAnsi="Arial Narrow"/>
          <w:b/>
          <w:bCs/>
          <w:u w:val="single"/>
        </w:rPr>
      </w:pPr>
    </w:p>
    <w:p w:rsidR="002E1E78" w:rsidRDefault="002E1E78" w:rsidP="0065444A">
      <w:pPr>
        <w:autoSpaceDE w:val="0"/>
        <w:autoSpaceDN w:val="0"/>
        <w:adjustRightInd w:val="0"/>
        <w:jc w:val="both"/>
        <w:rPr>
          <w:rFonts w:ascii="Arial Narrow" w:hAnsi="Arial Narrow"/>
          <w:b/>
          <w:bCs/>
          <w:u w:val="single"/>
        </w:rPr>
      </w:pPr>
    </w:p>
    <w:p w:rsidR="0065444A" w:rsidRPr="005F3A93" w:rsidRDefault="0065444A" w:rsidP="0065444A">
      <w:pPr>
        <w:autoSpaceDE w:val="0"/>
        <w:autoSpaceDN w:val="0"/>
        <w:adjustRightInd w:val="0"/>
        <w:jc w:val="both"/>
        <w:rPr>
          <w:rFonts w:ascii="Arial Narrow" w:hAnsi="Arial Narrow"/>
          <w:b/>
          <w:bCs/>
          <w:u w:val="single"/>
        </w:rPr>
      </w:pPr>
      <w:r w:rsidRPr="005F3A93">
        <w:rPr>
          <w:rFonts w:ascii="Arial Narrow" w:hAnsi="Arial Narrow"/>
          <w:b/>
          <w:bCs/>
          <w:u w:val="single"/>
        </w:rPr>
        <w:t>CEREALES</w:t>
      </w:r>
    </w:p>
    <w:p w:rsidR="0065444A" w:rsidRPr="005F3A93" w:rsidRDefault="0065444A" w:rsidP="0065444A">
      <w:pPr>
        <w:autoSpaceDE w:val="0"/>
        <w:autoSpaceDN w:val="0"/>
        <w:adjustRightInd w:val="0"/>
        <w:jc w:val="both"/>
        <w:rPr>
          <w:rFonts w:ascii="Arial Narrow" w:hAnsi="Arial Narrow" w:cs="Arial"/>
          <w:color w:val="666666"/>
        </w:rPr>
      </w:pPr>
    </w:p>
    <w:p w:rsidR="001D7147" w:rsidRPr="002E1E78" w:rsidRDefault="0065444A" w:rsidP="002E1E78">
      <w:pPr>
        <w:jc w:val="both"/>
        <w:rPr>
          <w:rFonts w:ascii="Arial Narrow" w:hAnsi="Arial Narrow" w:cs="Arial"/>
        </w:rPr>
      </w:pPr>
      <w:r w:rsidRPr="002E1E78">
        <w:rPr>
          <w:rFonts w:ascii="Arial Narrow" w:hAnsi="Arial Narrow" w:cs="Arial"/>
        </w:rPr>
        <w:t xml:space="preserve">La cosecha en Castilla y León, que habitualmente </w:t>
      </w:r>
      <w:r w:rsidR="006F06B2" w:rsidRPr="002E1E78">
        <w:rPr>
          <w:rFonts w:ascii="Arial Narrow" w:hAnsi="Arial Narrow" w:cs="Arial"/>
        </w:rPr>
        <w:t>representa en torno al 35-45</w:t>
      </w:r>
      <w:r w:rsidRPr="002E1E78">
        <w:rPr>
          <w:rFonts w:ascii="Arial Narrow" w:hAnsi="Arial Narrow" w:cs="Arial"/>
        </w:rPr>
        <w:t>% de la producción nacional,  se caracterizó por</w:t>
      </w:r>
      <w:r w:rsidR="006F06B2" w:rsidRPr="002E1E78">
        <w:rPr>
          <w:rFonts w:ascii="Arial Narrow" w:hAnsi="Arial Narrow" w:cs="Arial"/>
        </w:rPr>
        <w:t xml:space="preserve"> un invierno suave</w:t>
      </w:r>
      <w:r w:rsidR="001D7147" w:rsidRPr="002E1E78">
        <w:rPr>
          <w:rFonts w:ascii="Arial Narrow" w:hAnsi="Arial Narrow" w:cs="Arial"/>
        </w:rPr>
        <w:t xml:space="preserve"> con una sementera dentro de lo normal, sin efectos graves por fuertes heladas,</w:t>
      </w:r>
      <w:r w:rsidR="006F06B2" w:rsidRPr="002E1E78">
        <w:rPr>
          <w:rFonts w:ascii="Arial Narrow" w:hAnsi="Arial Narrow" w:cs="Arial"/>
        </w:rPr>
        <w:t xml:space="preserve"> y una primavera húmeda y más fría de lo habitual, especialmente en mayo y junio, lo que provocó un retraso de la</w:t>
      </w:r>
      <w:r w:rsidR="001D7147" w:rsidRPr="002E1E78">
        <w:rPr>
          <w:rFonts w:ascii="Arial Narrow" w:hAnsi="Arial Narrow" w:cs="Arial"/>
        </w:rPr>
        <w:t>s fechas de</w:t>
      </w:r>
      <w:r w:rsidR="006F06B2" w:rsidRPr="002E1E78">
        <w:rPr>
          <w:rFonts w:ascii="Arial Narrow" w:hAnsi="Arial Narrow" w:cs="Arial"/>
        </w:rPr>
        <w:t xml:space="preserve"> cosecha. </w:t>
      </w:r>
      <w:r w:rsidR="001D7147" w:rsidRPr="002E1E78">
        <w:rPr>
          <w:rFonts w:ascii="Arial Narrow" w:hAnsi="Arial Narrow" w:cs="Arial"/>
        </w:rPr>
        <w:t>El desarrollo de los cultivos ha sido gradual, con precipitaciones por encima de la media de un año normal, dando lugar a una cosecha buena en términos generales.</w:t>
      </w:r>
    </w:p>
    <w:p w:rsidR="001D7147" w:rsidRPr="002E1E78" w:rsidRDefault="001D7147" w:rsidP="002E1E78">
      <w:pPr>
        <w:jc w:val="both"/>
        <w:rPr>
          <w:rFonts w:ascii="Arial Narrow" w:hAnsi="Arial Narrow" w:cs="Arial"/>
        </w:rPr>
      </w:pPr>
    </w:p>
    <w:p w:rsidR="00E715C8" w:rsidRDefault="001D7147" w:rsidP="002E1E78">
      <w:pPr>
        <w:jc w:val="both"/>
        <w:rPr>
          <w:rFonts w:ascii="Arial Narrow" w:hAnsi="Arial Narrow"/>
          <w:bCs/>
        </w:rPr>
      </w:pPr>
      <w:r w:rsidRPr="002E1E78">
        <w:rPr>
          <w:rFonts w:ascii="Arial Narrow" w:hAnsi="Arial Narrow" w:cs="Arial"/>
        </w:rPr>
        <w:t>Los aproximadamente 62</w:t>
      </w:r>
      <w:r w:rsidR="0065444A" w:rsidRPr="002E1E78">
        <w:rPr>
          <w:rFonts w:ascii="Arial Narrow" w:hAnsi="Arial Narrow" w:cs="Arial"/>
        </w:rPr>
        <w:t xml:space="preserve">.000 </w:t>
      </w:r>
      <w:r w:rsidR="001A5484">
        <w:rPr>
          <w:rFonts w:ascii="Arial Narrow" w:hAnsi="Arial Narrow" w:cs="Arial"/>
        </w:rPr>
        <w:t>productores</w:t>
      </w:r>
      <w:r w:rsidR="0065444A" w:rsidRPr="002E1E78">
        <w:rPr>
          <w:rFonts w:ascii="Arial Narrow" w:hAnsi="Arial Narrow" w:cs="Arial"/>
        </w:rPr>
        <w:t xml:space="preserve"> de cereal en la comunidad autónoma sembraron en total </w:t>
      </w:r>
      <w:r w:rsidRPr="002E1E78">
        <w:rPr>
          <w:rFonts w:ascii="Arial Narrow" w:hAnsi="Arial Narrow" w:cs="Arial"/>
        </w:rPr>
        <w:t>1.914.245</w:t>
      </w:r>
      <w:r w:rsidR="0065444A" w:rsidRPr="002E1E78">
        <w:rPr>
          <w:rFonts w:ascii="Arial Narrow" w:hAnsi="Arial Narrow" w:cs="Arial"/>
        </w:rPr>
        <w:t xml:space="preserve"> hectáreas de cereal de invierno, </w:t>
      </w:r>
      <w:r w:rsidR="008812E3">
        <w:rPr>
          <w:rFonts w:ascii="Arial Narrow" w:hAnsi="Arial Narrow" w:cs="Arial"/>
        </w:rPr>
        <w:t>lo que supone</w:t>
      </w:r>
      <w:r w:rsidR="0065444A" w:rsidRPr="002E1E78">
        <w:rPr>
          <w:rFonts w:ascii="Arial Narrow" w:hAnsi="Arial Narrow" w:cs="Arial"/>
        </w:rPr>
        <w:t xml:space="preserve"> un 8% menos que la media del período 2000-10, y se recogió una cosecha estimada de </w:t>
      </w:r>
      <w:r w:rsidR="00F74D8C" w:rsidRPr="002E1E78">
        <w:rPr>
          <w:rFonts w:ascii="Arial Narrow" w:hAnsi="Arial Narrow" w:cs="Arial"/>
        </w:rPr>
        <w:t>7,45</w:t>
      </w:r>
      <w:r w:rsidR="0065444A" w:rsidRPr="002E1E78">
        <w:rPr>
          <w:rFonts w:ascii="Arial Narrow" w:hAnsi="Arial Narrow" w:cs="Arial"/>
        </w:rPr>
        <w:t xml:space="preserve"> millones de toneladas, </w:t>
      </w:r>
      <w:r w:rsidR="005A4C6F" w:rsidRPr="002E1E78">
        <w:rPr>
          <w:rFonts w:ascii="Arial Narrow" w:hAnsi="Arial Narrow" w:cs="Arial"/>
        </w:rPr>
        <w:t>por encima de los aproximadamente 6,75 millones que vienen recogiéndose en un año medio</w:t>
      </w:r>
      <w:r w:rsidR="0065444A" w:rsidRPr="002E1E78">
        <w:rPr>
          <w:rFonts w:ascii="Arial Narrow" w:hAnsi="Arial Narrow"/>
          <w:bCs/>
        </w:rPr>
        <w:t xml:space="preserve">. </w:t>
      </w:r>
    </w:p>
    <w:p w:rsidR="002E1E78" w:rsidRPr="002E1E78" w:rsidRDefault="002E1E78" w:rsidP="002E1E78">
      <w:pPr>
        <w:jc w:val="both"/>
        <w:rPr>
          <w:rFonts w:ascii="Arial Narrow" w:hAnsi="Arial Narrow"/>
          <w:bCs/>
        </w:rPr>
      </w:pPr>
    </w:p>
    <w:p w:rsidR="00364B26" w:rsidRPr="002E1E78" w:rsidRDefault="00364B26" w:rsidP="002E1E78">
      <w:pPr>
        <w:jc w:val="both"/>
        <w:rPr>
          <w:rFonts w:ascii="Arial Narrow" w:hAnsi="Arial Narrow"/>
          <w:bCs/>
        </w:rPr>
      </w:pPr>
    </w:p>
    <w:p w:rsidR="00E715C8" w:rsidRPr="002E1E78" w:rsidRDefault="00364B26" w:rsidP="002E1E78">
      <w:pPr>
        <w:jc w:val="center"/>
        <w:rPr>
          <w:rFonts w:ascii="Arial Narrow" w:hAnsi="Arial Narrow"/>
          <w:bCs/>
        </w:rPr>
      </w:pPr>
      <w:r w:rsidRPr="002E1E78">
        <w:rPr>
          <w:rFonts w:ascii="Arial Narrow" w:hAnsi="Arial Narrow"/>
          <w:bCs/>
          <w:noProof/>
          <w:lang w:val="es-ES"/>
        </w:rPr>
        <w:drawing>
          <wp:inline distT="0" distB="0" distL="0" distR="0">
            <wp:extent cx="3690027" cy="2446316"/>
            <wp:effectExtent l="19050" t="0" r="5673"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98610" cy="2452006"/>
                    </a:xfrm>
                    <a:prstGeom prst="rect">
                      <a:avLst/>
                    </a:prstGeom>
                    <a:noFill/>
                    <a:ln w="9525">
                      <a:noFill/>
                      <a:miter lim="800000"/>
                      <a:headEnd/>
                      <a:tailEnd/>
                    </a:ln>
                  </pic:spPr>
                </pic:pic>
              </a:graphicData>
            </a:graphic>
          </wp:inline>
        </w:drawing>
      </w:r>
    </w:p>
    <w:p w:rsidR="00364B26" w:rsidRPr="002E1E78" w:rsidRDefault="00364B26" w:rsidP="002E1E78">
      <w:pPr>
        <w:jc w:val="both"/>
        <w:rPr>
          <w:rFonts w:ascii="Arial Narrow" w:hAnsi="Arial Narrow"/>
          <w:bCs/>
        </w:rPr>
      </w:pPr>
    </w:p>
    <w:p w:rsidR="002E1E78" w:rsidRDefault="002E1E78" w:rsidP="002E1E78">
      <w:pPr>
        <w:jc w:val="both"/>
        <w:rPr>
          <w:rFonts w:ascii="Arial Narrow" w:hAnsi="Arial Narrow"/>
          <w:bCs/>
        </w:rPr>
      </w:pPr>
    </w:p>
    <w:p w:rsidR="00E715C8" w:rsidRPr="002E1E78" w:rsidRDefault="00E715C8" w:rsidP="002E1E78">
      <w:pPr>
        <w:jc w:val="both"/>
        <w:rPr>
          <w:rFonts w:ascii="Arial Narrow" w:hAnsi="Arial Narrow"/>
          <w:bCs/>
        </w:rPr>
      </w:pPr>
      <w:r w:rsidRPr="002E1E78">
        <w:rPr>
          <w:rFonts w:ascii="Arial Narrow" w:hAnsi="Arial Narrow"/>
          <w:bCs/>
        </w:rPr>
        <w:t>Sigue en aumento la superficie de trigo debido a que los agricultores parecen haberse decantado por lo</w:t>
      </w:r>
      <w:r w:rsidR="00B7431C">
        <w:rPr>
          <w:rFonts w:ascii="Arial Narrow" w:hAnsi="Arial Narrow"/>
          <w:bCs/>
        </w:rPr>
        <w:t>s buenos rendimientos de las</w:t>
      </w:r>
      <w:r w:rsidRPr="002E1E78">
        <w:rPr>
          <w:rFonts w:ascii="Arial Narrow" w:hAnsi="Arial Narrow"/>
          <w:bCs/>
        </w:rPr>
        <w:t xml:space="preserve"> nuevas variedades y el diferencial de precio a favor del trigo, buscando mejorar la rentabilidad de sus explotaciones.</w:t>
      </w:r>
    </w:p>
    <w:p w:rsidR="00E715C8" w:rsidRPr="002E1E78" w:rsidRDefault="00E715C8" w:rsidP="002E1E78">
      <w:pPr>
        <w:jc w:val="both"/>
        <w:rPr>
          <w:rFonts w:ascii="Arial Narrow" w:hAnsi="Arial Narrow"/>
          <w:bCs/>
        </w:rPr>
      </w:pPr>
    </w:p>
    <w:p w:rsidR="0065444A" w:rsidRPr="002E1E78" w:rsidRDefault="005A4C6F" w:rsidP="002E1E78">
      <w:pPr>
        <w:jc w:val="both"/>
        <w:rPr>
          <w:rFonts w:ascii="Arial Narrow" w:hAnsi="Arial Narrow"/>
          <w:bCs/>
        </w:rPr>
      </w:pPr>
      <w:r w:rsidRPr="002E1E78">
        <w:rPr>
          <w:rFonts w:ascii="Arial Narrow" w:hAnsi="Arial Narrow"/>
          <w:bCs/>
        </w:rPr>
        <w:t>D</w:t>
      </w:r>
      <w:r w:rsidR="0065444A" w:rsidRPr="002E1E78">
        <w:rPr>
          <w:rFonts w:ascii="Arial Narrow" w:hAnsi="Arial Narrow"/>
          <w:bCs/>
        </w:rPr>
        <w:t xml:space="preserve">esde el punto de vista de los rendimientos </w:t>
      </w:r>
      <w:r w:rsidRPr="002E1E78">
        <w:rPr>
          <w:rFonts w:ascii="Arial Narrow" w:hAnsi="Arial Narrow"/>
          <w:bCs/>
        </w:rPr>
        <w:t>estos han superado los 3.800 kilogramos/hectárea, o sea, un 24% por encima de un año medio.</w:t>
      </w:r>
      <w:r w:rsidR="0084477C" w:rsidRPr="002E1E78">
        <w:rPr>
          <w:rFonts w:ascii="Arial Narrow" w:hAnsi="Arial Narrow"/>
          <w:bCs/>
        </w:rPr>
        <w:t xml:space="preserve"> Tuvieron cierta incidencia el pedrisco, que afectó a unas 40.000 Has en la Comunidad Autónoma, y la cada vez más abundante plaga de gramíneas </w:t>
      </w:r>
      <w:r w:rsidR="0084477C" w:rsidRPr="002E1E78">
        <w:rPr>
          <w:rFonts w:ascii="Arial Narrow" w:hAnsi="Arial Narrow"/>
          <w:bCs/>
        </w:rPr>
        <w:lastRenderedPageBreak/>
        <w:t xml:space="preserve">que con especial incidencia </w:t>
      </w:r>
      <w:r w:rsidR="00DA3EA1" w:rsidRPr="002E1E78">
        <w:rPr>
          <w:rFonts w:ascii="Arial Narrow" w:hAnsi="Arial Narrow"/>
          <w:bCs/>
        </w:rPr>
        <w:t xml:space="preserve">del bromo </w:t>
      </w:r>
      <w:r w:rsidR="0084477C" w:rsidRPr="002E1E78">
        <w:rPr>
          <w:rFonts w:ascii="Arial Narrow" w:hAnsi="Arial Narrow"/>
          <w:bCs/>
        </w:rPr>
        <w:t>en algunas provincias, merma sustancialmente la cosecha en las parcelas afectadas.</w:t>
      </w:r>
    </w:p>
    <w:p w:rsidR="002E1E78" w:rsidRDefault="002E1E78" w:rsidP="002E1E78">
      <w:pPr>
        <w:jc w:val="both"/>
        <w:rPr>
          <w:rFonts w:ascii="Arial Narrow" w:hAnsi="Arial Narrow"/>
          <w:bCs/>
        </w:rPr>
      </w:pPr>
    </w:p>
    <w:p w:rsidR="002E1E78" w:rsidRPr="002E1E78" w:rsidRDefault="002E1E78" w:rsidP="002E1E78">
      <w:pPr>
        <w:jc w:val="both"/>
        <w:rPr>
          <w:rFonts w:ascii="Arial Narrow" w:hAnsi="Arial Narrow"/>
          <w:bCs/>
        </w:rPr>
      </w:pPr>
      <w:r w:rsidRPr="002E1E78">
        <w:rPr>
          <w:rFonts w:ascii="Arial Narrow" w:hAnsi="Arial Narrow"/>
          <w:bCs/>
          <w:noProof/>
          <w:lang w:val="es-ES"/>
        </w:rPr>
        <w:drawing>
          <wp:inline distT="0" distB="0" distL="0" distR="0">
            <wp:extent cx="5395735" cy="4762005"/>
            <wp:effectExtent l="19050" t="0" r="0"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400040" cy="4765804"/>
                    </a:xfrm>
                    <a:prstGeom prst="rect">
                      <a:avLst/>
                    </a:prstGeom>
                    <a:noFill/>
                    <a:ln w="9525">
                      <a:noFill/>
                      <a:miter lim="800000"/>
                      <a:headEnd/>
                      <a:tailEnd/>
                    </a:ln>
                  </pic:spPr>
                </pic:pic>
              </a:graphicData>
            </a:graphic>
          </wp:inline>
        </w:drawing>
      </w:r>
    </w:p>
    <w:p w:rsidR="00E715C8" w:rsidRPr="002E1E78" w:rsidRDefault="00E715C8" w:rsidP="002E1E78">
      <w:pPr>
        <w:jc w:val="both"/>
        <w:rPr>
          <w:rFonts w:ascii="Arial Narrow" w:hAnsi="Arial Narrow"/>
          <w:bCs/>
        </w:rPr>
      </w:pPr>
    </w:p>
    <w:p w:rsidR="005131FF" w:rsidRPr="002E1E78" w:rsidRDefault="005131FF" w:rsidP="005131FF">
      <w:pPr>
        <w:jc w:val="both"/>
        <w:rPr>
          <w:rFonts w:ascii="Arial Narrow" w:hAnsi="Arial Narrow"/>
          <w:bCs/>
        </w:rPr>
      </w:pPr>
    </w:p>
    <w:p w:rsidR="005131FF" w:rsidRDefault="005131FF" w:rsidP="005131FF">
      <w:pPr>
        <w:jc w:val="both"/>
        <w:rPr>
          <w:rFonts w:ascii="Arial Narrow" w:hAnsi="Arial Narrow"/>
          <w:bCs/>
        </w:rPr>
      </w:pPr>
      <w:r w:rsidRPr="002E1E78">
        <w:rPr>
          <w:rFonts w:ascii="Arial Narrow" w:hAnsi="Arial Narrow"/>
          <w:bCs/>
        </w:rPr>
        <w:t xml:space="preserve">Respecto de la superficie de maíz se estima una </w:t>
      </w:r>
      <w:r>
        <w:rPr>
          <w:rFonts w:ascii="Arial Narrow" w:hAnsi="Arial Narrow"/>
          <w:bCs/>
        </w:rPr>
        <w:t>siembra</w:t>
      </w:r>
      <w:r w:rsidRPr="002E1E78">
        <w:rPr>
          <w:rFonts w:ascii="Arial Narrow" w:hAnsi="Arial Narrow"/>
          <w:bCs/>
        </w:rPr>
        <w:t xml:space="preserve"> en 2.013 de 122.048  has (superior a la superficie media del período 2007-12) y una producción de 1,27 millones de toneladas (un 14% superior a 2.012, y 11% superior al lustro anterior), resultando un rendimiento superior a las 10,4 toneladas.</w:t>
      </w:r>
    </w:p>
    <w:p w:rsidR="002E1E78" w:rsidRDefault="002E1E78" w:rsidP="002E1E78">
      <w:pPr>
        <w:jc w:val="both"/>
        <w:rPr>
          <w:rFonts w:ascii="Arial Narrow" w:hAnsi="Arial Narrow"/>
          <w:bCs/>
        </w:rPr>
      </w:pPr>
    </w:p>
    <w:p w:rsidR="002E1E78" w:rsidRDefault="002E1E78" w:rsidP="002E1E78">
      <w:pPr>
        <w:jc w:val="both"/>
        <w:rPr>
          <w:rFonts w:ascii="Arial Narrow" w:hAnsi="Arial Narrow"/>
          <w:bCs/>
        </w:rPr>
      </w:pPr>
    </w:p>
    <w:p w:rsidR="00F70A21" w:rsidRPr="002E1E78" w:rsidRDefault="0065444A" w:rsidP="002E1E78">
      <w:pPr>
        <w:jc w:val="both"/>
        <w:rPr>
          <w:rFonts w:ascii="Arial Narrow" w:hAnsi="Arial Narrow"/>
          <w:bCs/>
        </w:rPr>
      </w:pPr>
      <w:r w:rsidRPr="002E1E78">
        <w:rPr>
          <w:rFonts w:ascii="Arial Narrow" w:hAnsi="Arial Narrow"/>
          <w:bCs/>
        </w:rPr>
        <w:t xml:space="preserve">La recuperación en el precio del cereal que se produjo a partir del momento de la cosecha de 2.010 se mantuvo hasta el inicio de la siega de 2.011, entrando entonces en una fase de descenso brusco que lo mantuvo constante durante todo el segundo semestre del año anterior, para comenzar a remontar desde principios de 2.012 hasta llegar a los mejores momentos de precio, equiparables a los de finales de 2.007 y comienzos de 2.008. </w:t>
      </w:r>
      <w:r w:rsidR="00364B26" w:rsidRPr="002E1E78">
        <w:rPr>
          <w:rFonts w:ascii="Arial Narrow" w:hAnsi="Arial Narrow"/>
          <w:bCs/>
        </w:rPr>
        <w:t xml:space="preserve">La evolución del precio en la lonja de Salamanca es un reflejo de la tendencia del precio a lo largo del año 2013, que comenzó con cifras en el entorno de los 250 €/Tm, e incluso superiores en algunos casos, para ir descendiendo hasta las fechas actuales, en que cotiza </w:t>
      </w:r>
      <w:r w:rsidR="00FE4BEA">
        <w:rPr>
          <w:rFonts w:ascii="Arial Narrow" w:hAnsi="Arial Narrow"/>
          <w:bCs/>
        </w:rPr>
        <w:t>alrededor</w:t>
      </w:r>
      <w:r w:rsidR="00364B26" w:rsidRPr="002E1E78">
        <w:rPr>
          <w:rFonts w:ascii="Arial Narrow" w:hAnsi="Arial Narrow"/>
          <w:bCs/>
        </w:rPr>
        <w:t xml:space="preserve"> de los 190 €/Tm y siendo </w:t>
      </w:r>
      <w:r w:rsidR="00364B26" w:rsidRPr="002E1E78">
        <w:rPr>
          <w:rFonts w:ascii="Arial Narrow" w:hAnsi="Arial Narrow"/>
          <w:bCs/>
        </w:rPr>
        <w:lastRenderedPageBreak/>
        <w:t xml:space="preserve">habituales operaciones por debajo de los 180. Por tanto, estamos ante una bajada en </w:t>
      </w:r>
      <w:r w:rsidR="00944620" w:rsidRPr="002E1E78">
        <w:rPr>
          <w:rFonts w:ascii="Arial Narrow" w:hAnsi="Arial Narrow"/>
          <w:bCs/>
        </w:rPr>
        <w:t>lo que va de año próxima al 30%.</w:t>
      </w:r>
    </w:p>
    <w:p w:rsidR="00364B26" w:rsidRPr="002E1E78" w:rsidRDefault="00364B26" w:rsidP="002E1E78">
      <w:pPr>
        <w:jc w:val="both"/>
        <w:rPr>
          <w:rFonts w:ascii="Arial Narrow" w:hAnsi="Arial Narrow"/>
          <w:bCs/>
        </w:rPr>
      </w:pPr>
    </w:p>
    <w:p w:rsidR="00364B26" w:rsidRPr="002E1E78" w:rsidRDefault="00364B26" w:rsidP="002E1E78">
      <w:pPr>
        <w:jc w:val="both"/>
        <w:rPr>
          <w:rFonts w:ascii="Arial Narrow" w:hAnsi="Arial Narrow"/>
          <w:bCs/>
        </w:rPr>
      </w:pPr>
      <w:r w:rsidRPr="002E1E78">
        <w:rPr>
          <w:rFonts w:ascii="Arial Narrow" w:hAnsi="Arial Narrow"/>
          <w:bCs/>
        </w:rPr>
        <w:t>En cuanto al maíz, la evolución del precio ha sido similar, pagándose por debajo de los 175 €/Tm actuales frente al entorno de los 245 €/Tm de hace un año.</w:t>
      </w:r>
      <w:r w:rsidR="002E1E78" w:rsidRPr="002E1E78">
        <w:rPr>
          <w:rFonts w:ascii="Arial Narrow" w:hAnsi="Arial Narrow"/>
        </w:rPr>
        <w:t xml:space="preserve"> </w:t>
      </w:r>
    </w:p>
    <w:p w:rsidR="00944620" w:rsidRPr="002E1E78" w:rsidRDefault="00944620" w:rsidP="002E1E78">
      <w:pPr>
        <w:jc w:val="both"/>
        <w:rPr>
          <w:rFonts w:ascii="Arial Narrow" w:hAnsi="Arial Narrow"/>
          <w:bCs/>
        </w:rPr>
      </w:pPr>
    </w:p>
    <w:p w:rsidR="00944620" w:rsidRPr="002E1E78" w:rsidRDefault="00944620" w:rsidP="002E1E78">
      <w:pPr>
        <w:jc w:val="both"/>
        <w:rPr>
          <w:rFonts w:ascii="Arial Narrow" w:hAnsi="Arial Narrow"/>
          <w:bCs/>
        </w:rPr>
      </w:pPr>
      <w:r w:rsidRPr="002E1E78">
        <w:rPr>
          <w:rFonts w:ascii="Arial Narrow" w:hAnsi="Arial Narrow"/>
          <w:bCs/>
        </w:rPr>
        <w:t>Conviene recordar que si bien se ha producido un aumento de cosecha en 2.013, sin embargo, el precio se sitúa en la actualidad en los precios más bajos de los últimos 4 años, y e</w:t>
      </w:r>
      <w:r w:rsidR="00006FDA" w:rsidRPr="002E1E78">
        <w:rPr>
          <w:rFonts w:ascii="Arial Narrow" w:hAnsi="Arial Narrow"/>
          <w:bCs/>
        </w:rPr>
        <w:t>ntre tanto, entre 2006 y 2012 el gasto en los fertilizantes se ha incrementado un 49% y en energía en un 33% en los últimos 3 años.</w:t>
      </w:r>
    </w:p>
    <w:p w:rsidR="00364B26" w:rsidRPr="002E1E78" w:rsidRDefault="00364B26" w:rsidP="002E1E78">
      <w:pPr>
        <w:jc w:val="both"/>
        <w:rPr>
          <w:rFonts w:ascii="Arial Narrow" w:hAnsi="Arial Narrow"/>
          <w:bCs/>
        </w:rPr>
      </w:pPr>
    </w:p>
    <w:p w:rsidR="0065444A" w:rsidRPr="002E1E78" w:rsidRDefault="00364B26" w:rsidP="002E1E78">
      <w:pPr>
        <w:jc w:val="both"/>
        <w:rPr>
          <w:rFonts w:ascii="Arial Narrow" w:hAnsi="Arial Narrow"/>
          <w:bCs/>
        </w:rPr>
      </w:pPr>
      <w:r w:rsidRPr="002E1E78">
        <w:rPr>
          <w:rFonts w:ascii="Arial Narrow" w:hAnsi="Arial Narrow"/>
          <w:bCs/>
        </w:rPr>
        <w:t>L</w:t>
      </w:r>
      <w:r w:rsidR="0065444A" w:rsidRPr="002E1E78">
        <w:rPr>
          <w:rFonts w:ascii="Arial Narrow" w:hAnsi="Arial Narrow"/>
          <w:bCs/>
        </w:rPr>
        <w:t xml:space="preserve">a Alianza UPA-COAG </w:t>
      </w:r>
      <w:r w:rsidRPr="002E1E78">
        <w:rPr>
          <w:rFonts w:ascii="Arial Narrow" w:hAnsi="Arial Narrow"/>
          <w:bCs/>
        </w:rPr>
        <w:t xml:space="preserve">ha seguido oponiéndose a las tasas que impone </w:t>
      </w:r>
      <w:r w:rsidR="0065444A" w:rsidRPr="002E1E78">
        <w:rPr>
          <w:rFonts w:ascii="Arial Narrow" w:hAnsi="Arial Narrow"/>
          <w:bCs/>
        </w:rPr>
        <w:t>GESLIVE por el reempleo para la siembra</w:t>
      </w:r>
      <w:r w:rsidRPr="002E1E78">
        <w:rPr>
          <w:rFonts w:ascii="Arial Narrow" w:hAnsi="Arial Narrow"/>
          <w:bCs/>
        </w:rPr>
        <w:t xml:space="preserve"> que hacen los agricultores</w:t>
      </w:r>
      <w:r w:rsidR="0065444A" w:rsidRPr="002E1E78">
        <w:rPr>
          <w:rFonts w:ascii="Arial Narrow" w:hAnsi="Arial Narrow"/>
          <w:bCs/>
        </w:rPr>
        <w:t xml:space="preserve"> de sus propias semillas de cereal, </w:t>
      </w:r>
      <w:r w:rsidRPr="002E1E78">
        <w:rPr>
          <w:rFonts w:ascii="Arial Narrow" w:hAnsi="Arial Narrow"/>
          <w:bCs/>
        </w:rPr>
        <w:t xml:space="preserve">así como </w:t>
      </w:r>
      <w:r w:rsidR="00493318">
        <w:rPr>
          <w:rFonts w:ascii="Arial Narrow" w:hAnsi="Arial Narrow"/>
          <w:bCs/>
        </w:rPr>
        <w:t>a</w:t>
      </w:r>
      <w:r w:rsidRPr="002E1E78">
        <w:rPr>
          <w:rFonts w:ascii="Arial Narrow" w:hAnsi="Arial Narrow"/>
          <w:bCs/>
        </w:rPr>
        <w:t xml:space="preserve"> la incesante actividad especuladora de determinados agentes en el mercado</w:t>
      </w:r>
      <w:r w:rsidR="00493318">
        <w:rPr>
          <w:rFonts w:ascii="Arial Narrow" w:hAnsi="Arial Narrow"/>
          <w:bCs/>
        </w:rPr>
        <w:t xml:space="preserve"> que </w:t>
      </w:r>
      <w:r w:rsidR="000F2AF6">
        <w:rPr>
          <w:rFonts w:ascii="Arial Narrow" w:hAnsi="Arial Narrow"/>
          <w:bCs/>
        </w:rPr>
        <w:t xml:space="preserve">dan al traste con la recuperación </w:t>
      </w:r>
      <w:r w:rsidR="00493318">
        <w:rPr>
          <w:rFonts w:ascii="Arial Narrow" w:hAnsi="Arial Narrow"/>
          <w:bCs/>
        </w:rPr>
        <w:t>de los precios sin causas justificadas</w:t>
      </w:r>
      <w:r w:rsidRPr="002E1E78">
        <w:rPr>
          <w:rFonts w:ascii="Arial Narrow" w:hAnsi="Arial Narrow"/>
          <w:bCs/>
        </w:rPr>
        <w:t>.</w:t>
      </w:r>
    </w:p>
    <w:p w:rsidR="006F06B2" w:rsidRPr="002E1E78" w:rsidRDefault="006F06B2" w:rsidP="002E1E78">
      <w:pPr>
        <w:jc w:val="both"/>
        <w:rPr>
          <w:rFonts w:ascii="Arial Narrow" w:hAnsi="Arial Narrow"/>
          <w:bCs/>
        </w:rPr>
      </w:pPr>
    </w:p>
    <w:p w:rsidR="00F946D8" w:rsidRPr="002E1E78" w:rsidRDefault="00F946D8" w:rsidP="002E1E78">
      <w:pPr>
        <w:autoSpaceDE w:val="0"/>
        <w:autoSpaceDN w:val="0"/>
        <w:adjustRightInd w:val="0"/>
        <w:jc w:val="both"/>
        <w:rPr>
          <w:rFonts w:ascii="Arial Narrow" w:hAnsi="Arial Narrow"/>
          <w:b/>
          <w:u w:val="single"/>
        </w:rPr>
      </w:pPr>
      <w:bookmarkStart w:id="0" w:name="OLE_LINK1"/>
    </w:p>
    <w:p w:rsidR="002E1E78" w:rsidRDefault="002E1E78" w:rsidP="002E1E78">
      <w:pPr>
        <w:autoSpaceDE w:val="0"/>
        <w:autoSpaceDN w:val="0"/>
        <w:adjustRightInd w:val="0"/>
        <w:jc w:val="both"/>
        <w:rPr>
          <w:rFonts w:ascii="Arial Narrow" w:hAnsi="Arial Narrow"/>
          <w:b/>
          <w:u w:val="single"/>
        </w:rPr>
      </w:pPr>
    </w:p>
    <w:p w:rsidR="002A15A2" w:rsidRDefault="002A15A2" w:rsidP="002E1E78">
      <w:pPr>
        <w:autoSpaceDE w:val="0"/>
        <w:autoSpaceDN w:val="0"/>
        <w:adjustRightInd w:val="0"/>
        <w:jc w:val="both"/>
        <w:rPr>
          <w:rFonts w:ascii="Arial Narrow" w:hAnsi="Arial Narrow"/>
          <w:b/>
          <w:u w:val="single"/>
        </w:rPr>
      </w:pPr>
      <w:r w:rsidRPr="002E1E78">
        <w:rPr>
          <w:rFonts w:ascii="Arial Narrow" w:hAnsi="Arial Narrow"/>
          <w:b/>
          <w:u w:val="single"/>
        </w:rPr>
        <w:t>REMOLACHA</w:t>
      </w:r>
    </w:p>
    <w:p w:rsidR="002E1E78" w:rsidRPr="002E1E78" w:rsidRDefault="002E1E78" w:rsidP="002E1E78">
      <w:pPr>
        <w:autoSpaceDE w:val="0"/>
        <w:autoSpaceDN w:val="0"/>
        <w:adjustRightInd w:val="0"/>
        <w:jc w:val="both"/>
        <w:rPr>
          <w:rFonts w:ascii="Arial Narrow" w:hAnsi="Arial Narrow"/>
          <w:b/>
          <w:u w:val="single"/>
        </w:rPr>
      </w:pPr>
    </w:p>
    <w:p w:rsidR="002A15A2" w:rsidRPr="002E1E78" w:rsidRDefault="002A15A2" w:rsidP="002E1E78">
      <w:pPr>
        <w:autoSpaceDE w:val="0"/>
        <w:autoSpaceDN w:val="0"/>
        <w:adjustRightInd w:val="0"/>
        <w:jc w:val="both"/>
        <w:rPr>
          <w:rFonts w:ascii="Arial Narrow" w:hAnsi="Arial Narrow"/>
          <w:b/>
        </w:rPr>
      </w:pPr>
    </w:p>
    <w:bookmarkEnd w:id="0"/>
    <w:p w:rsidR="002A15A2" w:rsidRPr="002E1E78" w:rsidRDefault="002A15A2" w:rsidP="002E1E78">
      <w:pPr>
        <w:pStyle w:val="Textoindependiente3"/>
        <w:spacing w:after="0" w:line="240" w:lineRule="auto"/>
        <w:jc w:val="both"/>
        <w:rPr>
          <w:rFonts w:ascii="Arial Narrow" w:hAnsi="Arial Narrow" w:cs="Arial"/>
          <w:sz w:val="24"/>
          <w:szCs w:val="24"/>
        </w:rPr>
      </w:pPr>
      <w:r w:rsidRPr="002E1E78">
        <w:rPr>
          <w:rFonts w:ascii="Arial Narrow" w:hAnsi="Arial Narrow" w:cs="Arial"/>
          <w:sz w:val="24"/>
          <w:szCs w:val="24"/>
        </w:rPr>
        <w:t xml:space="preserve">Mediado 2.012 la Junta de Castilla y León, argumentando su decisión en que ha de ser la Industria quien asuma el diferencial de precio, decide suprimir la ayuda con cargo a su presupuesto, dejando en la estacada a los remolacheros al saltarse a la torera el compromiso adquirido y plasmado en el acuerdo de reestructuración de 10 de marzo de 2.008 entre las industrias y la propia Consejería </w:t>
      </w:r>
      <w:proofErr w:type="gramStart"/>
      <w:r w:rsidRPr="002E1E78">
        <w:rPr>
          <w:rFonts w:ascii="Arial Narrow" w:hAnsi="Arial Narrow" w:cs="Arial"/>
          <w:sz w:val="24"/>
          <w:szCs w:val="24"/>
        </w:rPr>
        <w:t>( -</w:t>
      </w:r>
      <w:proofErr w:type="gramEnd"/>
      <w:r w:rsidRPr="002E1E78">
        <w:rPr>
          <w:rFonts w:ascii="Arial Narrow" w:hAnsi="Arial Narrow" w:cs="Arial"/>
          <w:sz w:val="24"/>
          <w:szCs w:val="24"/>
        </w:rPr>
        <w:t>auspiciado por ella misma- ), con el fin de garantizar un mínimo de 40 €/Tm tipo de remolacha. Esta medida suponía la pérdida de 3 €/Tm de remolacha tipo ocasionando una pérdida global anual de unos 10 M€ para los remolacheros de la comunidad autónoma, que además son discriminados respecto a los de otras partes del país al percibir un menor precio final por la remolacha. La Alianza</w:t>
      </w:r>
      <w:r w:rsidR="00D370DA">
        <w:rPr>
          <w:rFonts w:ascii="Arial Narrow" w:hAnsi="Arial Narrow" w:cs="Arial"/>
          <w:sz w:val="24"/>
          <w:szCs w:val="24"/>
        </w:rPr>
        <w:t xml:space="preserve"> UPA-COAG</w:t>
      </w:r>
      <w:r w:rsidRPr="002E1E78">
        <w:rPr>
          <w:rFonts w:ascii="Arial Narrow" w:hAnsi="Arial Narrow" w:cs="Arial"/>
          <w:sz w:val="24"/>
          <w:szCs w:val="24"/>
        </w:rPr>
        <w:t xml:space="preserve"> se manifestó ante las Cortes el pasado 26 de junio</w:t>
      </w:r>
      <w:r w:rsidR="008E23DE" w:rsidRPr="002E1E78">
        <w:rPr>
          <w:rFonts w:ascii="Arial Narrow" w:hAnsi="Arial Narrow" w:cs="Arial"/>
          <w:sz w:val="24"/>
          <w:szCs w:val="24"/>
        </w:rPr>
        <w:t xml:space="preserve"> de 2012</w:t>
      </w:r>
      <w:r w:rsidRPr="002E1E78">
        <w:rPr>
          <w:rFonts w:ascii="Arial Narrow" w:hAnsi="Arial Narrow" w:cs="Arial"/>
          <w:sz w:val="24"/>
          <w:szCs w:val="24"/>
        </w:rPr>
        <w:t xml:space="preserve"> en reivindicación del mantenimiento de esta ayuda que de no se</w:t>
      </w:r>
      <w:r w:rsidR="00D370DA">
        <w:rPr>
          <w:rFonts w:ascii="Arial Narrow" w:hAnsi="Arial Narrow" w:cs="Arial"/>
          <w:sz w:val="24"/>
          <w:szCs w:val="24"/>
        </w:rPr>
        <w:t>r compensada por otras vías pod</w:t>
      </w:r>
      <w:r w:rsidRPr="002E1E78">
        <w:rPr>
          <w:rFonts w:ascii="Arial Narrow" w:hAnsi="Arial Narrow" w:cs="Arial"/>
          <w:sz w:val="24"/>
          <w:szCs w:val="24"/>
        </w:rPr>
        <w:t xml:space="preserve">ía suponer el finiquito del cultivo. </w:t>
      </w:r>
    </w:p>
    <w:p w:rsidR="002A15A2" w:rsidRPr="002E1E78" w:rsidRDefault="002A15A2" w:rsidP="002E1E78">
      <w:pPr>
        <w:pStyle w:val="Textoindependiente3"/>
        <w:spacing w:after="0" w:line="240" w:lineRule="auto"/>
        <w:jc w:val="both"/>
        <w:rPr>
          <w:rFonts w:ascii="Arial Narrow" w:hAnsi="Arial Narrow" w:cs="Arial"/>
          <w:sz w:val="24"/>
          <w:szCs w:val="24"/>
        </w:rPr>
      </w:pPr>
    </w:p>
    <w:p w:rsidR="008E23DE" w:rsidRPr="001C6D8E" w:rsidRDefault="0074314F" w:rsidP="002E1E78">
      <w:pPr>
        <w:pStyle w:val="Textoindependiente3"/>
        <w:spacing w:after="0" w:line="240" w:lineRule="auto"/>
        <w:jc w:val="both"/>
        <w:rPr>
          <w:rFonts w:ascii="Arial Narrow" w:hAnsi="Arial Narrow" w:cs="Arial"/>
          <w:sz w:val="24"/>
          <w:szCs w:val="24"/>
        </w:rPr>
      </w:pPr>
      <w:r w:rsidRPr="002E1E78">
        <w:rPr>
          <w:rFonts w:ascii="Arial Narrow" w:hAnsi="Arial Narrow" w:cs="Arial"/>
          <w:sz w:val="24"/>
          <w:szCs w:val="24"/>
        </w:rPr>
        <w:t>Considerando que lejos de rectificar, la Junta de Castilla y León</w:t>
      </w:r>
      <w:r w:rsidR="008E23DE" w:rsidRPr="002E1E78">
        <w:rPr>
          <w:rFonts w:ascii="Arial Narrow" w:hAnsi="Arial Narrow" w:cs="Arial"/>
          <w:sz w:val="24"/>
          <w:szCs w:val="24"/>
        </w:rPr>
        <w:t xml:space="preserve"> se ha reafirmado en su actitud</w:t>
      </w:r>
      <w:r w:rsidRPr="002E1E78">
        <w:rPr>
          <w:rFonts w:ascii="Arial Narrow" w:hAnsi="Arial Narrow" w:cs="Arial"/>
          <w:sz w:val="24"/>
          <w:szCs w:val="24"/>
        </w:rPr>
        <w:t xml:space="preserve"> </w:t>
      </w:r>
      <w:r w:rsidR="008E23DE" w:rsidRPr="002E1E78">
        <w:rPr>
          <w:rFonts w:ascii="Arial Narrow" w:hAnsi="Arial Narrow" w:cs="Arial"/>
          <w:sz w:val="24"/>
          <w:szCs w:val="24"/>
        </w:rPr>
        <w:t>inadmitie</w:t>
      </w:r>
      <w:r w:rsidRPr="002E1E78">
        <w:rPr>
          <w:rFonts w:ascii="Arial Narrow" w:hAnsi="Arial Narrow" w:cs="Arial"/>
          <w:sz w:val="24"/>
          <w:szCs w:val="24"/>
        </w:rPr>
        <w:t>ndo los recursos</w:t>
      </w:r>
      <w:r w:rsidR="008E23DE" w:rsidRPr="002E1E78">
        <w:rPr>
          <w:rFonts w:ascii="Arial Narrow" w:hAnsi="Arial Narrow" w:cs="Arial"/>
          <w:sz w:val="24"/>
          <w:szCs w:val="24"/>
        </w:rPr>
        <w:t xml:space="preserve"> de reposición presentados por </w:t>
      </w:r>
      <w:r w:rsidR="008E23DE" w:rsidRPr="001C6D8E">
        <w:rPr>
          <w:rFonts w:ascii="Arial Narrow" w:hAnsi="Arial Narrow" w:cs="Arial"/>
          <w:sz w:val="24"/>
          <w:szCs w:val="24"/>
        </w:rPr>
        <w:t xml:space="preserve">nuestra Organización, </w:t>
      </w:r>
      <w:r w:rsidRPr="001C6D8E">
        <w:rPr>
          <w:rFonts w:ascii="Arial Narrow" w:hAnsi="Arial Narrow" w:cs="Arial"/>
          <w:sz w:val="24"/>
          <w:szCs w:val="24"/>
        </w:rPr>
        <w:t xml:space="preserve"> </w:t>
      </w:r>
      <w:r w:rsidR="008E23DE" w:rsidRPr="001C6D8E">
        <w:rPr>
          <w:rFonts w:ascii="Arial Narrow" w:hAnsi="Arial Narrow" w:cs="Arial"/>
          <w:sz w:val="24"/>
          <w:szCs w:val="24"/>
        </w:rPr>
        <w:t>l</w:t>
      </w:r>
      <w:r w:rsidR="002A15A2" w:rsidRPr="001C6D8E">
        <w:rPr>
          <w:rFonts w:ascii="Arial Narrow" w:hAnsi="Arial Narrow" w:cs="Arial"/>
          <w:sz w:val="24"/>
          <w:szCs w:val="24"/>
        </w:rPr>
        <w:t xml:space="preserve">a Alianza </w:t>
      </w:r>
      <w:r w:rsidR="008E23DE" w:rsidRPr="001C6D8E">
        <w:rPr>
          <w:rFonts w:ascii="Arial Narrow" w:hAnsi="Arial Narrow" w:cs="Arial"/>
          <w:sz w:val="24"/>
          <w:szCs w:val="24"/>
        </w:rPr>
        <w:t>UPA-COAG (no así otras OPAs) ha continuado el procedimiento en reclamación de la restitución de la ayuda por la vía judicial contencioso-administrativa, ante el Tribunal Superior de Justicia de Castilla y León.</w:t>
      </w:r>
    </w:p>
    <w:p w:rsidR="008E23DE" w:rsidRPr="001C6D8E" w:rsidRDefault="008E23DE" w:rsidP="002E1E78">
      <w:pPr>
        <w:pStyle w:val="Textoindependiente3"/>
        <w:spacing w:after="0" w:line="240" w:lineRule="auto"/>
        <w:jc w:val="both"/>
        <w:rPr>
          <w:rFonts w:ascii="Arial Narrow" w:hAnsi="Arial Narrow" w:cs="Arial"/>
          <w:sz w:val="24"/>
          <w:szCs w:val="24"/>
        </w:rPr>
      </w:pPr>
    </w:p>
    <w:p w:rsidR="002A15A2" w:rsidRPr="002E1E78" w:rsidRDefault="002A15A2" w:rsidP="002E1E78">
      <w:pPr>
        <w:jc w:val="both"/>
        <w:rPr>
          <w:rFonts w:ascii="Arial Narrow" w:hAnsi="Arial Narrow" w:cs="Arial"/>
        </w:rPr>
      </w:pPr>
      <w:r w:rsidRPr="001C6D8E">
        <w:rPr>
          <w:rFonts w:ascii="Arial Narrow" w:hAnsi="Arial Narrow" w:cs="Arial"/>
        </w:rPr>
        <w:t xml:space="preserve">Por otra parte, </w:t>
      </w:r>
      <w:r w:rsidR="0074314F" w:rsidRPr="001C6D8E">
        <w:rPr>
          <w:rFonts w:ascii="Arial Narrow" w:hAnsi="Arial Narrow" w:cs="Arial"/>
        </w:rPr>
        <w:t xml:space="preserve">teniendo en cuenta los pésimos efectos provocados por la mala gestión de la reforma del azúcar del 2006, </w:t>
      </w:r>
      <w:r w:rsidRPr="001C6D8E">
        <w:rPr>
          <w:rFonts w:ascii="Arial Narrow" w:hAnsi="Arial Narrow" w:cs="Arial"/>
        </w:rPr>
        <w:t xml:space="preserve">desde la Alianza </w:t>
      </w:r>
      <w:r w:rsidR="0074314F" w:rsidRPr="001C6D8E">
        <w:rPr>
          <w:rFonts w:ascii="Arial Narrow" w:hAnsi="Arial Narrow" w:cs="Arial"/>
        </w:rPr>
        <w:t>UPA-COAG</w:t>
      </w:r>
      <w:r w:rsidRPr="001C6D8E">
        <w:rPr>
          <w:rFonts w:ascii="Arial Narrow" w:hAnsi="Arial Narrow" w:cs="Arial"/>
        </w:rPr>
        <w:t xml:space="preserve"> </w:t>
      </w:r>
      <w:r w:rsidR="0074314F" w:rsidRPr="001C6D8E">
        <w:rPr>
          <w:rFonts w:ascii="Arial Narrow" w:hAnsi="Arial Narrow" w:cs="Arial"/>
        </w:rPr>
        <w:t>lamentamos</w:t>
      </w:r>
      <w:r w:rsidRPr="001C6D8E">
        <w:rPr>
          <w:rFonts w:ascii="Arial Narrow" w:hAnsi="Arial Narrow" w:cs="Arial"/>
        </w:rPr>
        <w:t xml:space="preserve"> que la Comisión Europea </w:t>
      </w:r>
      <w:r w:rsidR="0074314F" w:rsidRPr="001C6D8E">
        <w:rPr>
          <w:rFonts w:ascii="Arial Narrow" w:hAnsi="Arial Narrow" w:cs="Arial"/>
        </w:rPr>
        <w:t>no haya</w:t>
      </w:r>
      <w:r w:rsidRPr="001C6D8E">
        <w:rPr>
          <w:rFonts w:ascii="Arial Narrow" w:hAnsi="Arial Narrow" w:cs="Arial"/>
        </w:rPr>
        <w:t xml:space="preserve"> “rendi</w:t>
      </w:r>
      <w:r w:rsidR="0074314F" w:rsidRPr="001C6D8E">
        <w:rPr>
          <w:rFonts w:ascii="Arial Narrow" w:hAnsi="Arial Narrow" w:cs="Arial"/>
        </w:rPr>
        <w:t>do</w:t>
      </w:r>
      <w:r w:rsidRPr="001C6D8E">
        <w:rPr>
          <w:rFonts w:ascii="Arial Narrow" w:hAnsi="Arial Narrow" w:cs="Arial"/>
        </w:rPr>
        <w:t xml:space="preserve"> cuentas” con los remolacheros y </w:t>
      </w:r>
      <w:r w:rsidR="0074314F" w:rsidRPr="001C6D8E">
        <w:rPr>
          <w:rFonts w:ascii="Arial Narrow" w:hAnsi="Arial Narrow" w:cs="Arial"/>
        </w:rPr>
        <w:t>no haya dado</w:t>
      </w:r>
      <w:r w:rsidRPr="001C6D8E">
        <w:rPr>
          <w:rFonts w:ascii="Arial Narrow" w:hAnsi="Arial Narrow" w:cs="Arial"/>
        </w:rPr>
        <w:t xml:space="preserve"> un giro radical que reconduzca la política azucarera ap</w:t>
      </w:r>
      <w:r w:rsidR="0074314F" w:rsidRPr="001C6D8E">
        <w:rPr>
          <w:rFonts w:ascii="Arial Narrow" w:hAnsi="Arial Narrow" w:cs="Arial"/>
        </w:rPr>
        <w:t xml:space="preserve">rovechando la reforma de la PAC.  </w:t>
      </w:r>
      <w:r w:rsidRPr="001C6D8E">
        <w:rPr>
          <w:rFonts w:ascii="Arial Narrow" w:hAnsi="Arial Narrow" w:cs="Arial"/>
        </w:rPr>
        <w:t xml:space="preserve">Entendemos que el futuro de la remolacha y de los remolacheros  </w:t>
      </w:r>
      <w:r w:rsidR="0074314F" w:rsidRPr="001C6D8E">
        <w:rPr>
          <w:rFonts w:ascii="Arial Narrow" w:hAnsi="Arial Narrow" w:cs="Arial"/>
        </w:rPr>
        <w:t xml:space="preserve">sigue </w:t>
      </w:r>
      <w:r w:rsidRPr="001C6D8E">
        <w:rPr>
          <w:rFonts w:ascii="Arial Narrow" w:hAnsi="Arial Narrow" w:cs="Arial"/>
        </w:rPr>
        <w:t>part</w:t>
      </w:r>
      <w:r w:rsidR="0074314F" w:rsidRPr="001C6D8E">
        <w:rPr>
          <w:rFonts w:ascii="Arial Narrow" w:hAnsi="Arial Narrow" w:cs="Arial"/>
        </w:rPr>
        <w:t>iendo</w:t>
      </w:r>
      <w:r w:rsidRPr="001C6D8E">
        <w:rPr>
          <w:rFonts w:ascii="Arial Narrow" w:hAnsi="Arial Narrow" w:cs="Arial"/>
        </w:rPr>
        <w:t xml:space="preserve"> de la consideración efectiva del cultivo como “sector estratégico” a nivel autonómico y estatal, y pasa no solo por incrementar la productividad del cultivo, sino también, y sobre todo, por una mejora de los precios, mejora no suficientemente</w:t>
      </w:r>
      <w:r w:rsidRPr="002E1E78">
        <w:rPr>
          <w:rFonts w:ascii="Arial Narrow" w:hAnsi="Arial Narrow" w:cs="Arial"/>
        </w:rPr>
        <w:t xml:space="preserve"> </w:t>
      </w:r>
      <w:r w:rsidRPr="002E1E78">
        <w:rPr>
          <w:rFonts w:ascii="Arial Narrow" w:hAnsi="Arial Narrow" w:cs="Arial"/>
        </w:rPr>
        <w:lastRenderedPageBreak/>
        <w:t xml:space="preserve">garantizada como se ha demostrado tras la espantada de la Junta en el acuerdo de 2.008 firmado a </w:t>
      </w:r>
      <w:r w:rsidRPr="00915B94">
        <w:rPr>
          <w:rFonts w:ascii="Arial Narrow" w:hAnsi="Arial Narrow" w:cs="Arial"/>
        </w:rPr>
        <w:t>espaldas del sector, sino que pasa también por el mantenimiento de las cuotas</w:t>
      </w:r>
      <w:r w:rsidR="008E23DE" w:rsidRPr="00915B94">
        <w:rPr>
          <w:rFonts w:ascii="Arial Narrow" w:hAnsi="Arial Narrow" w:cs="Arial"/>
        </w:rPr>
        <w:t xml:space="preserve"> más allá de 2.017</w:t>
      </w:r>
      <w:r w:rsidRPr="00915B94">
        <w:rPr>
          <w:rFonts w:ascii="Arial Narrow" w:hAnsi="Arial Narrow" w:cs="Arial"/>
        </w:rPr>
        <w:t xml:space="preserve"> y el incremento de las ayudas </w:t>
      </w:r>
      <w:r w:rsidR="0074314F" w:rsidRPr="00915B94">
        <w:rPr>
          <w:rFonts w:ascii="Arial Narrow" w:hAnsi="Arial Narrow" w:cs="Arial"/>
        </w:rPr>
        <w:t>puesto que la rentabilidad de las explotaciones remolacheras sigue quedando supeditada a la percepción de las ayudas acopladas a la producción. En este sentido deberán tomar buena nota tanto el MAGRAMA como la propia Junta de Castilla y León.</w:t>
      </w:r>
    </w:p>
    <w:p w:rsidR="0074314F" w:rsidRPr="002E1E78" w:rsidRDefault="0074314F" w:rsidP="002E1E78">
      <w:pPr>
        <w:pStyle w:val="Textoindependiente3"/>
        <w:spacing w:after="0" w:line="240" w:lineRule="auto"/>
        <w:jc w:val="both"/>
        <w:rPr>
          <w:rFonts w:ascii="Arial Narrow" w:hAnsi="Arial Narrow" w:cs="Arial"/>
          <w:b/>
          <w:sz w:val="24"/>
          <w:szCs w:val="24"/>
        </w:rPr>
      </w:pPr>
    </w:p>
    <w:p w:rsidR="002E1E78" w:rsidRDefault="002A15A2" w:rsidP="002E1E78">
      <w:pPr>
        <w:pStyle w:val="Textoindependiente3"/>
        <w:spacing w:after="0" w:line="240" w:lineRule="auto"/>
        <w:jc w:val="both"/>
        <w:rPr>
          <w:rFonts w:ascii="Arial Narrow" w:hAnsi="Arial Narrow" w:cs="Arial"/>
          <w:sz w:val="24"/>
          <w:szCs w:val="24"/>
        </w:rPr>
      </w:pPr>
      <w:r w:rsidRPr="002E1E78">
        <w:rPr>
          <w:rFonts w:ascii="Arial Narrow" w:hAnsi="Arial Narrow" w:cs="Arial"/>
          <w:sz w:val="24"/>
          <w:szCs w:val="24"/>
        </w:rPr>
        <w:t xml:space="preserve">A nivel de cultivo, los remolacheros siguen demostrando la gran profesionalidad adquirida. Así, la campaña 2012/13, pese a que se desarrolló con un cierto retraso en las siembras por exceso de humedad y a que ha habido restricciones de riego al final de campaña en algunas comarcas, sin embargo, </w:t>
      </w:r>
      <w:r w:rsidR="007511CB" w:rsidRPr="002E1E78">
        <w:rPr>
          <w:rFonts w:ascii="Arial Narrow" w:hAnsi="Arial Narrow" w:cs="Arial"/>
          <w:sz w:val="24"/>
          <w:szCs w:val="24"/>
        </w:rPr>
        <w:t>se alcanzaron</w:t>
      </w:r>
      <w:r w:rsidRPr="002E1E78">
        <w:rPr>
          <w:rFonts w:ascii="Arial Narrow" w:hAnsi="Arial Narrow" w:cs="Arial"/>
          <w:sz w:val="24"/>
          <w:szCs w:val="24"/>
        </w:rPr>
        <w:t xml:space="preserve"> unos rendimientos </w:t>
      </w:r>
      <w:r w:rsidR="007511CB" w:rsidRPr="002E1E78">
        <w:rPr>
          <w:rFonts w:ascii="Arial Narrow" w:hAnsi="Arial Narrow" w:cs="Arial"/>
          <w:sz w:val="24"/>
          <w:szCs w:val="24"/>
        </w:rPr>
        <w:t>superiores</w:t>
      </w:r>
      <w:r w:rsidRPr="002E1E78">
        <w:rPr>
          <w:rFonts w:ascii="Arial Narrow" w:hAnsi="Arial Narrow" w:cs="Arial"/>
          <w:sz w:val="24"/>
          <w:szCs w:val="24"/>
        </w:rPr>
        <w:t xml:space="preserve"> a las 10</w:t>
      </w:r>
      <w:r w:rsidR="007511CB" w:rsidRPr="002E1E78">
        <w:rPr>
          <w:rFonts w:ascii="Arial Narrow" w:hAnsi="Arial Narrow" w:cs="Arial"/>
          <w:sz w:val="24"/>
          <w:szCs w:val="24"/>
        </w:rPr>
        <w:t>5</w:t>
      </w:r>
      <w:r w:rsidRPr="002E1E78">
        <w:rPr>
          <w:rFonts w:ascii="Arial Narrow" w:hAnsi="Arial Narrow" w:cs="Arial"/>
          <w:sz w:val="24"/>
          <w:szCs w:val="24"/>
        </w:rPr>
        <w:t xml:space="preserve"> Tm/ha de remolacha tipo como media en la Zona Norte</w:t>
      </w:r>
      <w:r w:rsidR="00785873" w:rsidRPr="002E1E78">
        <w:rPr>
          <w:rFonts w:ascii="Arial Narrow" w:hAnsi="Arial Narrow" w:cs="Arial"/>
          <w:sz w:val="24"/>
          <w:szCs w:val="24"/>
        </w:rPr>
        <w:t>, lo que supone un record a nivel europeo</w:t>
      </w:r>
      <w:r w:rsidRPr="002E1E78">
        <w:rPr>
          <w:rFonts w:ascii="Arial Narrow" w:hAnsi="Arial Narrow" w:cs="Arial"/>
          <w:sz w:val="24"/>
          <w:szCs w:val="24"/>
        </w:rPr>
        <w:t xml:space="preserve">. </w:t>
      </w:r>
    </w:p>
    <w:p w:rsidR="002E1E78" w:rsidRDefault="002E1E78" w:rsidP="002E1E78">
      <w:pPr>
        <w:pStyle w:val="Textoindependiente3"/>
        <w:spacing w:after="0" w:line="240" w:lineRule="auto"/>
        <w:jc w:val="both"/>
        <w:rPr>
          <w:rFonts w:ascii="Arial Narrow" w:hAnsi="Arial Narrow" w:cs="Arial"/>
          <w:sz w:val="24"/>
          <w:szCs w:val="24"/>
        </w:rPr>
      </w:pPr>
    </w:p>
    <w:p w:rsidR="002E1E78" w:rsidRDefault="002E1E78" w:rsidP="002E1E78">
      <w:pPr>
        <w:pStyle w:val="Textoindependiente3"/>
        <w:spacing w:after="0" w:line="240" w:lineRule="auto"/>
        <w:jc w:val="both"/>
        <w:rPr>
          <w:rFonts w:ascii="Arial Narrow" w:hAnsi="Arial Narrow" w:cs="Arial"/>
          <w:sz w:val="24"/>
          <w:szCs w:val="24"/>
        </w:rPr>
      </w:pPr>
    </w:p>
    <w:p w:rsidR="00785873" w:rsidRPr="002E1E78" w:rsidRDefault="002E1E78" w:rsidP="002E1E78">
      <w:pPr>
        <w:pStyle w:val="Textoindependiente3"/>
        <w:spacing w:after="0" w:line="240" w:lineRule="auto"/>
        <w:jc w:val="both"/>
        <w:rPr>
          <w:rFonts w:ascii="Arial Narrow" w:hAnsi="Arial Narrow" w:cs="Arial"/>
          <w:sz w:val="24"/>
          <w:szCs w:val="24"/>
        </w:rPr>
      </w:pPr>
      <w:r w:rsidRPr="002E1E78">
        <w:rPr>
          <w:rFonts w:ascii="Arial Narrow" w:hAnsi="Arial Narrow"/>
          <w:noProof/>
          <w:sz w:val="24"/>
          <w:szCs w:val="24"/>
          <w:lang w:eastAsia="es-ES"/>
        </w:rPr>
        <w:drawing>
          <wp:inline distT="0" distB="0" distL="0" distR="0">
            <wp:extent cx="5391133" cy="3538847"/>
            <wp:effectExtent l="19050" t="0" r="17" b="0"/>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400040" cy="3544693"/>
                    </a:xfrm>
                    <a:prstGeom prst="rect">
                      <a:avLst/>
                    </a:prstGeom>
                    <a:noFill/>
                    <a:ln w="9525">
                      <a:noFill/>
                      <a:miter lim="800000"/>
                      <a:headEnd/>
                      <a:tailEnd/>
                    </a:ln>
                  </pic:spPr>
                </pic:pic>
              </a:graphicData>
            </a:graphic>
          </wp:inline>
        </w:drawing>
      </w:r>
    </w:p>
    <w:p w:rsidR="00785873" w:rsidRPr="002E1E78" w:rsidRDefault="00785873" w:rsidP="002E1E78">
      <w:pPr>
        <w:pStyle w:val="Textoindependiente3"/>
        <w:spacing w:after="0" w:line="240" w:lineRule="auto"/>
        <w:jc w:val="both"/>
        <w:rPr>
          <w:rFonts w:ascii="Arial Narrow" w:hAnsi="Arial Narrow" w:cs="Arial"/>
          <w:sz w:val="24"/>
          <w:szCs w:val="24"/>
        </w:rPr>
      </w:pPr>
    </w:p>
    <w:p w:rsidR="002E1E78" w:rsidRDefault="002E1E78" w:rsidP="002E1E78">
      <w:pPr>
        <w:pStyle w:val="Textoindependiente3"/>
        <w:spacing w:after="0" w:line="240" w:lineRule="auto"/>
        <w:jc w:val="both"/>
        <w:rPr>
          <w:rFonts w:ascii="Arial Narrow" w:hAnsi="Arial Narrow" w:cs="Arial"/>
          <w:sz w:val="24"/>
          <w:szCs w:val="24"/>
        </w:rPr>
      </w:pPr>
    </w:p>
    <w:p w:rsidR="002A15A2" w:rsidRPr="002E1E78" w:rsidRDefault="002A15A2" w:rsidP="002E1E78">
      <w:pPr>
        <w:pStyle w:val="Textoindependiente3"/>
        <w:spacing w:after="0" w:line="240" w:lineRule="auto"/>
        <w:jc w:val="both"/>
        <w:rPr>
          <w:rFonts w:ascii="Arial Narrow" w:hAnsi="Arial Narrow" w:cs="Arial"/>
          <w:sz w:val="24"/>
          <w:szCs w:val="24"/>
        </w:rPr>
      </w:pPr>
      <w:r w:rsidRPr="002E1E78">
        <w:rPr>
          <w:rFonts w:ascii="Arial Narrow" w:hAnsi="Arial Narrow" w:cs="Arial"/>
          <w:sz w:val="24"/>
          <w:szCs w:val="24"/>
        </w:rPr>
        <w:t>En cuanto a la previsión</w:t>
      </w:r>
      <w:r w:rsidR="00785873" w:rsidRPr="002E1E78">
        <w:rPr>
          <w:rFonts w:ascii="Arial Narrow" w:hAnsi="Arial Narrow" w:cs="Arial"/>
          <w:sz w:val="24"/>
          <w:szCs w:val="24"/>
        </w:rPr>
        <w:t xml:space="preserve"> para la campaña 2013/14, l</w:t>
      </w:r>
      <w:r w:rsidRPr="002E1E78">
        <w:rPr>
          <w:rFonts w:ascii="Arial Narrow" w:hAnsi="Arial Narrow" w:cs="Arial"/>
          <w:sz w:val="24"/>
          <w:szCs w:val="24"/>
        </w:rPr>
        <w:t xml:space="preserve">a Alianza UPA-COAG estima </w:t>
      </w:r>
      <w:r w:rsidR="00785873" w:rsidRPr="002E1E78">
        <w:rPr>
          <w:rFonts w:ascii="Arial Narrow" w:hAnsi="Arial Narrow" w:cs="Arial"/>
          <w:sz w:val="24"/>
          <w:szCs w:val="24"/>
        </w:rPr>
        <w:t>que existe cierto riesgo de que no se cubra la cuota</w:t>
      </w:r>
      <w:r w:rsidRPr="002E1E78">
        <w:rPr>
          <w:rFonts w:ascii="Arial Narrow" w:hAnsi="Arial Narrow" w:cs="Arial"/>
          <w:sz w:val="24"/>
          <w:szCs w:val="24"/>
        </w:rPr>
        <w:t xml:space="preserve"> en la Zona Norte (que agrupa las Comunidades Autónomas de Castilla y León, País Vasco y Rioja) </w:t>
      </w:r>
      <w:r w:rsidR="00785873" w:rsidRPr="002E1E78">
        <w:rPr>
          <w:rFonts w:ascii="Arial Narrow" w:hAnsi="Arial Narrow" w:cs="Arial"/>
          <w:sz w:val="24"/>
          <w:szCs w:val="24"/>
        </w:rPr>
        <w:t>como consecuencia principalmente de una serie de factores: descenso de la siembra hasta las  22.917 Has en Castilla y León (un 17% menos que en 2.012), retraso en las siembras de aproximadamente mes y medio, y climatología no tan favorable como se preveía en el último tramo de desarrollo del cultivo.</w:t>
      </w:r>
    </w:p>
    <w:p w:rsidR="002E1E78" w:rsidRPr="002E1E78" w:rsidRDefault="002E1E78" w:rsidP="002E1E78">
      <w:pPr>
        <w:pStyle w:val="Textoindependiente3"/>
        <w:spacing w:after="0" w:line="240" w:lineRule="auto"/>
        <w:jc w:val="both"/>
        <w:rPr>
          <w:rFonts w:ascii="Arial Narrow" w:hAnsi="Arial Narrow" w:cs="Arial"/>
          <w:sz w:val="24"/>
          <w:szCs w:val="24"/>
        </w:rPr>
      </w:pPr>
    </w:p>
    <w:p w:rsidR="002E1E78" w:rsidRPr="002E1E78" w:rsidRDefault="002E1E78" w:rsidP="002E1E78">
      <w:pPr>
        <w:pStyle w:val="Textoindependiente3"/>
        <w:spacing w:after="0" w:line="240" w:lineRule="auto"/>
        <w:jc w:val="both"/>
        <w:rPr>
          <w:rFonts w:ascii="Arial Narrow" w:hAnsi="Arial Narrow" w:cs="Arial"/>
          <w:b/>
          <w:sz w:val="24"/>
          <w:szCs w:val="24"/>
          <w:u w:val="single"/>
        </w:rPr>
      </w:pPr>
    </w:p>
    <w:p w:rsidR="002A15A2" w:rsidRPr="002E1E78" w:rsidRDefault="002A15A2" w:rsidP="002E1E78">
      <w:pPr>
        <w:autoSpaceDE w:val="0"/>
        <w:autoSpaceDN w:val="0"/>
        <w:adjustRightInd w:val="0"/>
        <w:jc w:val="both"/>
        <w:rPr>
          <w:rFonts w:ascii="Arial Narrow" w:hAnsi="Arial Narrow"/>
          <w:b/>
          <w:u w:val="single"/>
        </w:rPr>
      </w:pPr>
    </w:p>
    <w:p w:rsidR="002E1E78" w:rsidRDefault="002E1E78" w:rsidP="002E1E78">
      <w:pPr>
        <w:autoSpaceDE w:val="0"/>
        <w:autoSpaceDN w:val="0"/>
        <w:adjustRightInd w:val="0"/>
        <w:jc w:val="both"/>
        <w:rPr>
          <w:rFonts w:ascii="Arial Narrow" w:hAnsi="Arial Narrow"/>
          <w:b/>
          <w:u w:val="single"/>
        </w:rPr>
      </w:pPr>
    </w:p>
    <w:p w:rsidR="002E1E78" w:rsidRDefault="002E1E78" w:rsidP="002E1E78">
      <w:pPr>
        <w:autoSpaceDE w:val="0"/>
        <w:autoSpaceDN w:val="0"/>
        <w:adjustRightInd w:val="0"/>
        <w:jc w:val="both"/>
        <w:rPr>
          <w:rFonts w:ascii="Arial Narrow" w:hAnsi="Arial Narrow"/>
          <w:b/>
          <w:u w:val="single"/>
        </w:rPr>
      </w:pPr>
    </w:p>
    <w:p w:rsidR="00F972FF" w:rsidRDefault="00F972FF" w:rsidP="002E1E78">
      <w:pPr>
        <w:autoSpaceDE w:val="0"/>
        <w:autoSpaceDN w:val="0"/>
        <w:adjustRightInd w:val="0"/>
        <w:jc w:val="both"/>
        <w:rPr>
          <w:rFonts w:ascii="Arial Narrow" w:hAnsi="Arial Narrow"/>
          <w:b/>
          <w:u w:val="single"/>
        </w:rPr>
      </w:pPr>
      <w:r w:rsidRPr="002E1E78">
        <w:rPr>
          <w:rFonts w:ascii="Arial Narrow" w:hAnsi="Arial Narrow"/>
          <w:b/>
          <w:u w:val="single"/>
        </w:rPr>
        <w:t>VINO</w:t>
      </w:r>
    </w:p>
    <w:p w:rsidR="002E1E78" w:rsidRPr="002E1E78" w:rsidRDefault="002E1E78" w:rsidP="002E1E78">
      <w:pPr>
        <w:autoSpaceDE w:val="0"/>
        <w:autoSpaceDN w:val="0"/>
        <w:adjustRightInd w:val="0"/>
        <w:jc w:val="both"/>
        <w:rPr>
          <w:rFonts w:ascii="Arial Narrow" w:hAnsi="Arial Narrow"/>
          <w:b/>
          <w:u w:val="single"/>
        </w:rPr>
      </w:pPr>
    </w:p>
    <w:p w:rsidR="00F972FF" w:rsidRPr="002E1E78" w:rsidRDefault="00F972FF" w:rsidP="002E1E78">
      <w:pPr>
        <w:autoSpaceDE w:val="0"/>
        <w:autoSpaceDN w:val="0"/>
        <w:adjustRightInd w:val="0"/>
        <w:jc w:val="both"/>
        <w:rPr>
          <w:rFonts w:ascii="Arial Narrow" w:hAnsi="Arial Narrow"/>
          <w:b/>
          <w:u w:val="single"/>
        </w:rPr>
      </w:pPr>
    </w:p>
    <w:p w:rsidR="00F972FF" w:rsidRPr="002E1E78" w:rsidRDefault="00F972FF" w:rsidP="002E1E78">
      <w:pPr>
        <w:autoSpaceDE w:val="0"/>
        <w:autoSpaceDN w:val="0"/>
        <w:adjustRightInd w:val="0"/>
        <w:jc w:val="both"/>
        <w:rPr>
          <w:rFonts w:ascii="Arial Narrow" w:hAnsi="Arial Narrow"/>
        </w:rPr>
      </w:pPr>
      <w:r w:rsidRPr="002E1E78">
        <w:rPr>
          <w:rFonts w:ascii="Arial Narrow" w:hAnsi="Arial Narrow"/>
        </w:rPr>
        <w:t>La cosecha de uva en la Comunidad Autónoma ha sido alrededor de un 15% superior a la de la campaña pasada, con aproximadamente 235 millones de kilos recogidos, el 90% de l</w:t>
      </w:r>
      <w:r w:rsidR="006D4652" w:rsidRPr="002E1E78">
        <w:rPr>
          <w:rFonts w:ascii="Arial Narrow" w:hAnsi="Arial Narrow"/>
        </w:rPr>
        <w:t>os cuales corresponde a las 12 denominaciones de origen</w:t>
      </w:r>
      <w:r w:rsidRPr="002E1E78">
        <w:rPr>
          <w:rFonts w:ascii="Arial Narrow" w:hAnsi="Arial Narrow"/>
        </w:rPr>
        <w:t xml:space="preserve"> reconocidas.</w:t>
      </w:r>
    </w:p>
    <w:p w:rsidR="00F972FF" w:rsidRPr="002E1E78" w:rsidRDefault="00F972FF" w:rsidP="002E1E78">
      <w:pPr>
        <w:autoSpaceDE w:val="0"/>
        <w:autoSpaceDN w:val="0"/>
        <w:adjustRightInd w:val="0"/>
        <w:jc w:val="both"/>
        <w:rPr>
          <w:rFonts w:ascii="Arial Narrow" w:hAnsi="Arial Narrow"/>
        </w:rPr>
      </w:pPr>
    </w:p>
    <w:p w:rsidR="00F972FF" w:rsidRPr="002E1E78" w:rsidRDefault="00F972FF" w:rsidP="002E1E78">
      <w:pPr>
        <w:autoSpaceDE w:val="0"/>
        <w:autoSpaceDN w:val="0"/>
        <w:adjustRightInd w:val="0"/>
        <w:jc w:val="both"/>
        <w:rPr>
          <w:rFonts w:ascii="Arial Narrow" w:hAnsi="Arial Narrow"/>
        </w:rPr>
      </w:pPr>
      <w:r w:rsidRPr="002E1E78">
        <w:rPr>
          <w:rFonts w:ascii="Arial Narrow" w:hAnsi="Arial Narrow"/>
        </w:rPr>
        <w:t xml:space="preserve">Se caracterizó por ser una cosecha “pasada por agua”, ya que, las abundantes lluvias retrasaron el comienzo de la misma entre 2 y 3 semanas, complicando las labores de vendimia y generando en algunas comarcas problemas de </w:t>
      </w:r>
      <w:proofErr w:type="spellStart"/>
      <w:r w:rsidRPr="002E1E78">
        <w:rPr>
          <w:rFonts w:ascii="Arial Narrow" w:hAnsi="Arial Narrow"/>
        </w:rPr>
        <w:t>botritis</w:t>
      </w:r>
      <w:proofErr w:type="spellEnd"/>
      <w:r w:rsidRPr="002E1E78">
        <w:rPr>
          <w:rFonts w:ascii="Arial Narrow" w:hAnsi="Arial Narrow"/>
        </w:rPr>
        <w:t>.</w:t>
      </w:r>
    </w:p>
    <w:p w:rsidR="006D4652" w:rsidRPr="002E1E78" w:rsidRDefault="006D4652" w:rsidP="002E1E78">
      <w:pPr>
        <w:autoSpaceDE w:val="0"/>
        <w:autoSpaceDN w:val="0"/>
        <w:adjustRightInd w:val="0"/>
        <w:jc w:val="both"/>
        <w:rPr>
          <w:rFonts w:ascii="Arial Narrow" w:hAnsi="Arial Narrow"/>
        </w:rPr>
      </w:pPr>
    </w:p>
    <w:p w:rsidR="006D4652" w:rsidRPr="002E1E78" w:rsidRDefault="006D4652" w:rsidP="002E1E78">
      <w:pPr>
        <w:autoSpaceDE w:val="0"/>
        <w:autoSpaceDN w:val="0"/>
        <w:adjustRightInd w:val="0"/>
        <w:jc w:val="both"/>
        <w:rPr>
          <w:rFonts w:ascii="Arial Narrow" w:hAnsi="Arial Narrow"/>
        </w:rPr>
      </w:pPr>
      <w:r w:rsidRPr="002E1E78">
        <w:rPr>
          <w:rFonts w:ascii="Arial Narrow" w:hAnsi="Arial Narrow"/>
        </w:rPr>
        <w:t xml:space="preserve">Si bien los precios han sido similares al pasado año, la variabilidad en los precios es un rasgo diferenciador dentro de las diferentes denominaciones de origen, registrándose precios de los más bajos en denominaciones como la de </w:t>
      </w:r>
      <w:proofErr w:type="spellStart"/>
      <w:r w:rsidRPr="002E1E78">
        <w:rPr>
          <w:rFonts w:ascii="Arial Narrow" w:hAnsi="Arial Narrow"/>
        </w:rPr>
        <w:t>Cigales</w:t>
      </w:r>
      <w:proofErr w:type="spellEnd"/>
      <w:r w:rsidRPr="002E1E78">
        <w:rPr>
          <w:rFonts w:ascii="Arial Narrow" w:hAnsi="Arial Narrow"/>
        </w:rPr>
        <w:t>.</w:t>
      </w:r>
    </w:p>
    <w:p w:rsidR="00F972FF" w:rsidRPr="002E1E78" w:rsidRDefault="00F972FF" w:rsidP="002E1E78">
      <w:pPr>
        <w:autoSpaceDE w:val="0"/>
        <w:autoSpaceDN w:val="0"/>
        <w:adjustRightInd w:val="0"/>
        <w:jc w:val="both"/>
        <w:rPr>
          <w:rFonts w:ascii="Arial Narrow" w:hAnsi="Arial Narrow"/>
        </w:rPr>
      </w:pPr>
    </w:p>
    <w:p w:rsidR="00F972FF" w:rsidRDefault="00F972FF" w:rsidP="002E1E78">
      <w:pPr>
        <w:autoSpaceDE w:val="0"/>
        <w:autoSpaceDN w:val="0"/>
        <w:adjustRightInd w:val="0"/>
        <w:jc w:val="both"/>
        <w:rPr>
          <w:rFonts w:ascii="Arial Narrow" w:hAnsi="Arial Narrow"/>
        </w:rPr>
      </w:pPr>
      <w:r w:rsidRPr="002E1E78">
        <w:rPr>
          <w:rFonts w:ascii="Arial Narrow" w:hAnsi="Arial Narrow"/>
        </w:rPr>
        <w:t>Desde La Alianza UPA-COAG se ha significado con especial importancia la trascendencia que está empezando a adquirir la enfermedad de la yesca en algunas zonas, habiéndose demandado soluciones urgentes con el fin de evitar la muerte de cepas y los consiguientes problemas de rentabilidad para los viticultores.</w:t>
      </w:r>
    </w:p>
    <w:p w:rsidR="002E1E78" w:rsidRDefault="002E1E78" w:rsidP="002E1E78">
      <w:pPr>
        <w:autoSpaceDE w:val="0"/>
        <w:autoSpaceDN w:val="0"/>
        <w:adjustRightInd w:val="0"/>
        <w:jc w:val="both"/>
        <w:rPr>
          <w:rFonts w:ascii="Arial Narrow" w:hAnsi="Arial Narrow"/>
        </w:rPr>
      </w:pPr>
    </w:p>
    <w:p w:rsidR="002E1E78" w:rsidRPr="002E1E78" w:rsidRDefault="002E1E78" w:rsidP="002E1E78">
      <w:pPr>
        <w:autoSpaceDE w:val="0"/>
        <w:autoSpaceDN w:val="0"/>
        <w:adjustRightInd w:val="0"/>
        <w:jc w:val="both"/>
        <w:rPr>
          <w:rFonts w:ascii="Arial Narrow" w:hAnsi="Arial Narrow"/>
        </w:rPr>
      </w:pPr>
    </w:p>
    <w:p w:rsidR="002A15A2" w:rsidRPr="002E1E78" w:rsidRDefault="002A15A2" w:rsidP="002E1E78">
      <w:pPr>
        <w:autoSpaceDE w:val="0"/>
        <w:autoSpaceDN w:val="0"/>
        <w:adjustRightInd w:val="0"/>
        <w:jc w:val="both"/>
        <w:rPr>
          <w:rFonts w:ascii="Arial Narrow" w:hAnsi="Arial Narrow"/>
          <w:b/>
          <w:u w:val="single"/>
        </w:rPr>
      </w:pPr>
    </w:p>
    <w:p w:rsidR="002A15A2" w:rsidRDefault="002A15A2" w:rsidP="002E1E78">
      <w:pPr>
        <w:autoSpaceDE w:val="0"/>
        <w:autoSpaceDN w:val="0"/>
        <w:adjustRightInd w:val="0"/>
        <w:jc w:val="both"/>
        <w:rPr>
          <w:rFonts w:ascii="Arial Narrow" w:hAnsi="Arial Narrow"/>
          <w:b/>
          <w:u w:val="single"/>
        </w:rPr>
      </w:pPr>
      <w:r w:rsidRPr="002E1E78">
        <w:rPr>
          <w:rFonts w:ascii="Arial Narrow" w:hAnsi="Arial Narrow"/>
          <w:b/>
          <w:u w:val="single"/>
        </w:rPr>
        <w:t>PATATA</w:t>
      </w:r>
    </w:p>
    <w:p w:rsidR="002E1E78" w:rsidRPr="002E1E78" w:rsidRDefault="002E1E78" w:rsidP="002E1E78">
      <w:pPr>
        <w:autoSpaceDE w:val="0"/>
        <w:autoSpaceDN w:val="0"/>
        <w:adjustRightInd w:val="0"/>
        <w:jc w:val="both"/>
        <w:rPr>
          <w:rFonts w:ascii="Arial Narrow" w:hAnsi="Arial Narrow"/>
          <w:b/>
          <w:u w:val="single"/>
        </w:rPr>
      </w:pPr>
    </w:p>
    <w:p w:rsidR="002A15A2" w:rsidRPr="002E1E78" w:rsidRDefault="002A15A2" w:rsidP="002E1E78">
      <w:pPr>
        <w:autoSpaceDE w:val="0"/>
        <w:autoSpaceDN w:val="0"/>
        <w:adjustRightInd w:val="0"/>
        <w:jc w:val="both"/>
        <w:rPr>
          <w:rFonts w:ascii="Arial Narrow" w:hAnsi="Arial Narrow"/>
          <w:b/>
        </w:rPr>
      </w:pPr>
    </w:p>
    <w:p w:rsidR="00215F63" w:rsidRPr="002E1E78" w:rsidRDefault="00C02ACC" w:rsidP="002E1E78">
      <w:pPr>
        <w:autoSpaceDE w:val="0"/>
        <w:autoSpaceDN w:val="0"/>
        <w:adjustRightInd w:val="0"/>
        <w:jc w:val="both"/>
        <w:rPr>
          <w:rFonts w:ascii="Arial Narrow" w:hAnsi="Arial Narrow"/>
        </w:rPr>
      </w:pPr>
      <w:r w:rsidRPr="002E1E78">
        <w:rPr>
          <w:rFonts w:ascii="Arial Narrow" w:hAnsi="Arial Narrow"/>
        </w:rPr>
        <w:t xml:space="preserve">Si bien en la presente campaña ha aumentado la superficie </w:t>
      </w:r>
      <w:r w:rsidR="00070594" w:rsidRPr="002E1E78">
        <w:rPr>
          <w:rFonts w:ascii="Arial Narrow" w:hAnsi="Arial Narrow"/>
        </w:rPr>
        <w:t xml:space="preserve">sembrada por los aproximadamente 5.200 patateros de la Comunidad Autónoma </w:t>
      </w:r>
      <w:r w:rsidRPr="002E1E78">
        <w:rPr>
          <w:rFonts w:ascii="Arial Narrow" w:hAnsi="Arial Narrow"/>
        </w:rPr>
        <w:t>y la producción se estima ligeramente superior al año pasado, nos encontramos con unas cifras bastante inferiores a la media de los últimos 5 años (un 7% en ambos casos).</w:t>
      </w:r>
    </w:p>
    <w:p w:rsidR="00C02ACC" w:rsidRPr="002E1E78" w:rsidRDefault="00C02ACC" w:rsidP="002E1E78">
      <w:pPr>
        <w:autoSpaceDE w:val="0"/>
        <w:autoSpaceDN w:val="0"/>
        <w:adjustRightInd w:val="0"/>
        <w:jc w:val="both"/>
        <w:rPr>
          <w:rFonts w:ascii="Arial Narrow" w:hAnsi="Arial Narrow"/>
        </w:rPr>
      </w:pPr>
    </w:p>
    <w:p w:rsidR="00C02ACC" w:rsidRPr="002E1E78" w:rsidRDefault="00C02ACC" w:rsidP="002E1E78">
      <w:pPr>
        <w:autoSpaceDE w:val="0"/>
        <w:autoSpaceDN w:val="0"/>
        <w:adjustRightInd w:val="0"/>
        <w:jc w:val="both"/>
        <w:rPr>
          <w:rFonts w:ascii="Arial Narrow" w:hAnsi="Arial Narrow"/>
        </w:rPr>
      </w:pPr>
      <w:r w:rsidRPr="002E1E78">
        <w:rPr>
          <w:rFonts w:ascii="Arial Narrow" w:hAnsi="Arial Narrow"/>
          <w:noProof/>
          <w:lang w:val="es-ES"/>
        </w:rPr>
        <w:drawing>
          <wp:inline distT="0" distB="0" distL="0" distR="0">
            <wp:extent cx="5213350" cy="949960"/>
            <wp:effectExtent l="19050" t="0" r="635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13350" cy="949960"/>
                    </a:xfrm>
                    <a:prstGeom prst="rect">
                      <a:avLst/>
                    </a:prstGeom>
                    <a:noFill/>
                    <a:ln w="9525">
                      <a:noFill/>
                      <a:miter lim="800000"/>
                      <a:headEnd/>
                      <a:tailEnd/>
                    </a:ln>
                  </pic:spPr>
                </pic:pic>
              </a:graphicData>
            </a:graphic>
          </wp:inline>
        </w:drawing>
      </w:r>
    </w:p>
    <w:p w:rsidR="00C02ACC" w:rsidRPr="002E1E78" w:rsidRDefault="00C02ACC" w:rsidP="002E1E78">
      <w:pPr>
        <w:autoSpaceDE w:val="0"/>
        <w:autoSpaceDN w:val="0"/>
        <w:adjustRightInd w:val="0"/>
        <w:jc w:val="both"/>
        <w:rPr>
          <w:rFonts w:ascii="Arial Narrow" w:hAnsi="Arial Narrow"/>
        </w:rPr>
      </w:pPr>
    </w:p>
    <w:p w:rsidR="00C02ACC" w:rsidRPr="002E1E78" w:rsidRDefault="00C02ACC" w:rsidP="002E1E78">
      <w:pPr>
        <w:autoSpaceDE w:val="0"/>
        <w:autoSpaceDN w:val="0"/>
        <w:adjustRightInd w:val="0"/>
        <w:jc w:val="both"/>
        <w:rPr>
          <w:rFonts w:ascii="Arial Narrow" w:hAnsi="Arial Narrow"/>
        </w:rPr>
      </w:pPr>
      <w:r w:rsidRPr="002E1E78">
        <w:rPr>
          <w:rFonts w:ascii="Arial Narrow" w:hAnsi="Arial Narrow"/>
        </w:rPr>
        <w:t xml:space="preserve">La recolección, que se retrasó unas 3 semanas, comenzó en el mes de agosto. </w:t>
      </w:r>
    </w:p>
    <w:p w:rsidR="00C02ACC" w:rsidRPr="002E1E78" w:rsidRDefault="00C02ACC" w:rsidP="002E1E78">
      <w:pPr>
        <w:autoSpaceDE w:val="0"/>
        <w:autoSpaceDN w:val="0"/>
        <w:adjustRightInd w:val="0"/>
        <w:jc w:val="both"/>
        <w:rPr>
          <w:rFonts w:ascii="Arial Narrow" w:hAnsi="Arial Narrow"/>
        </w:rPr>
      </w:pPr>
    </w:p>
    <w:p w:rsidR="00C02ACC" w:rsidRPr="002E1E78" w:rsidRDefault="00C02ACC" w:rsidP="002E1E78">
      <w:pPr>
        <w:autoSpaceDE w:val="0"/>
        <w:autoSpaceDN w:val="0"/>
        <w:adjustRightInd w:val="0"/>
        <w:jc w:val="both"/>
        <w:rPr>
          <w:rFonts w:ascii="Arial Narrow" w:hAnsi="Arial Narrow"/>
        </w:rPr>
      </w:pPr>
      <w:r w:rsidRPr="002E1E78">
        <w:rPr>
          <w:rFonts w:ascii="Arial Narrow" w:hAnsi="Arial Narrow"/>
        </w:rPr>
        <w:t>En cuanto al precio, que arrancó la campaña con cotizaciones próximas a los 0,50 €/kg, se desplomó posteriormente con la generalización de los arranques. No obviamos, tal cual denunció La Alianza UPA-COAG en su momento, que parte de la responsabilidad d</w:t>
      </w:r>
      <w:r w:rsidR="00070594" w:rsidRPr="002E1E78">
        <w:rPr>
          <w:rFonts w:ascii="Arial Narrow" w:hAnsi="Arial Narrow"/>
        </w:rPr>
        <w:t>e este desplome recae sobre el Gobierno E</w:t>
      </w:r>
      <w:r w:rsidRPr="002E1E78">
        <w:rPr>
          <w:rFonts w:ascii="Arial Narrow" w:hAnsi="Arial Narrow"/>
        </w:rPr>
        <w:t xml:space="preserve">statal, al culpabilizar a la patata del incremento del IPC, cuando paradójicamente el brusco descenso en el precio pagado al agricultor no se trasladó en igual medida en el precio pagado por el consumidor. En esta línea se denunció que el Gobierno no se acuerda del carácter cíclico que caracteriza al sector, sufriéndose campañas, como la de 2.011, </w:t>
      </w:r>
      <w:r w:rsidRPr="002E1E78">
        <w:rPr>
          <w:rFonts w:ascii="Arial Narrow" w:hAnsi="Arial Narrow"/>
        </w:rPr>
        <w:lastRenderedPageBreak/>
        <w:t xml:space="preserve">en que parte de la cosecha ni siquiera llegó a </w:t>
      </w:r>
      <w:r w:rsidR="00070594" w:rsidRPr="002E1E78">
        <w:rPr>
          <w:rFonts w:ascii="Arial Narrow" w:hAnsi="Arial Narrow"/>
        </w:rPr>
        <w:t>recolectarse</w:t>
      </w:r>
      <w:r w:rsidRPr="002E1E78">
        <w:rPr>
          <w:rFonts w:ascii="Arial Narrow" w:hAnsi="Arial Narrow"/>
        </w:rPr>
        <w:t xml:space="preserve"> por no resultar rentable.</w:t>
      </w:r>
    </w:p>
    <w:p w:rsidR="00070594" w:rsidRPr="002E1E78" w:rsidRDefault="00070594" w:rsidP="002E1E78">
      <w:pPr>
        <w:autoSpaceDE w:val="0"/>
        <w:autoSpaceDN w:val="0"/>
        <w:adjustRightInd w:val="0"/>
        <w:jc w:val="both"/>
        <w:rPr>
          <w:rFonts w:ascii="Arial Narrow" w:hAnsi="Arial Narrow"/>
        </w:rPr>
      </w:pPr>
    </w:p>
    <w:p w:rsidR="00070594" w:rsidRPr="002E1E78" w:rsidRDefault="00070594" w:rsidP="002E1E78">
      <w:pPr>
        <w:autoSpaceDE w:val="0"/>
        <w:autoSpaceDN w:val="0"/>
        <w:adjustRightInd w:val="0"/>
        <w:jc w:val="both"/>
        <w:rPr>
          <w:rFonts w:ascii="Arial Narrow" w:hAnsi="Arial Narrow"/>
        </w:rPr>
      </w:pPr>
      <w:r w:rsidRPr="002E1E78">
        <w:rPr>
          <w:rFonts w:ascii="Arial Narrow" w:hAnsi="Arial Narrow"/>
        </w:rPr>
        <w:t>La campaña, que despertó expectativas de ser buenas en su comienzo, finalmente ha llegado a registrar precios en el entorno de los costes de producción.</w:t>
      </w:r>
    </w:p>
    <w:p w:rsidR="002A15A2" w:rsidRPr="002E1E78" w:rsidRDefault="002A15A2" w:rsidP="002E1E78">
      <w:pPr>
        <w:pStyle w:val="Textoindependiente3"/>
        <w:spacing w:after="0" w:line="240" w:lineRule="auto"/>
        <w:jc w:val="center"/>
        <w:rPr>
          <w:rFonts w:ascii="Arial Narrow" w:hAnsi="Arial Narrow"/>
          <w:sz w:val="24"/>
          <w:szCs w:val="24"/>
          <w:u w:val="single"/>
        </w:rPr>
      </w:pPr>
    </w:p>
    <w:p w:rsidR="002A15A2" w:rsidRPr="002E1E78" w:rsidRDefault="002A15A2" w:rsidP="002E1E78">
      <w:pPr>
        <w:pStyle w:val="Textoindependiente3"/>
        <w:spacing w:after="0" w:line="240" w:lineRule="auto"/>
        <w:jc w:val="center"/>
        <w:rPr>
          <w:rFonts w:ascii="Arial Narrow" w:hAnsi="Arial Narrow"/>
          <w:b/>
          <w:sz w:val="24"/>
          <w:szCs w:val="24"/>
          <w:u w:val="single"/>
        </w:rPr>
      </w:pPr>
    </w:p>
    <w:p w:rsidR="002A15A2" w:rsidRPr="002E1E78" w:rsidRDefault="000353FA" w:rsidP="002E1E78">
      <w:pPr>
        <w:jc w:val="both"/>
        <w:rPr>
          <w:rFonts w:ascii="Arial Narrow" w:hAnsi="Arial Narrow"/>
          <w:b/>
          <w:u w:val="single"/>
        </w:rPr>
      </w:pPr>
      <w:r w:rsidRPr="002E1E78">
        <w:rPr>
          <w:rFonts w:ascii="Arial Narrow" w:hAnsi="Arial Narrow"/>
          <w:noProof/>
          <w:lang w:val="es-ES"/>
        </w:rPr>
        <w:drawing>
          <wp:inline distT="0" distB="0" distL="0" distR="0">
            <wp:extent cx="5400040" cy="5219642"/>
            <wp:effectExtent l="19050" t="0" r="0" b="0"/>
            <wp:docPr id="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00040" cy="5219642"/>
                    </a:xfrm>
                    <a:prstGeom prst="rect">
                      <a:avLst/>
                    </a:prstGeom>
                    <a:noFill/>
                    <a:ln w="9525">
                      <a:noFill/>
                      <a:miter lim="800000"/>
                      <a:headEnd/>
                      <a:tailEnd/>
                    </a:ln>
                  </pic:spPr>
                </pic:pic>
              </a:graphicData>
            </a:graphic>
          </wp:inline>
        </w:drawing>
      </w:r>
    </w:p>
    <w:p w:rsidR="00C34D7C" w:rsidRDefault="00C34D7C" w:rsidP="00C34D7C">
      <w:pPr>
        <w:autoSpaceDE w:val="0"/>
        <w:autoSpaceDN w:val="0"/>
        <w:adjustRightInd w:val="0"/>
        <w:jc w:val="both"/>
        <w:rPr>
          <w:rFonts w:ascii="Verdana" w:hAnsi="Verdana"/>
          <w:sz w:val="20"/>
          <w:szCs w:val="20"/>
        </w:rPr>
      </w:pPr>
    </w:p>
    <w:p w:rsidR="00C34D7C" w:rsidRPr="001425E3" w:rsidRDefault="00C34D7C" w:rsidP="00C34D7C">
      <w:pPr>
        <w:autoSpaceDE w:val="0"/>
        <w:autoSpaceDN w:val="0"/>
        <w:adjustRightInd w:val="0"/>
        <w:jc w:val="both"/>
        <w:rPr>
          <w:rFonts w:ascii="Arial Narrow" w:hAnsi="Arial Narrow"/>
        </w:rPr>
      </w:pPr>
      <w:r w:rsidRPr="001425E3">
        <w:rPr>
          <w:rFonts w:ascii="Arial Narrow" w:hAnsi="Arial Narrow"/>
        </w:rPr>
        <w:t>Desde La Alianza se sigue insistiendo de forma reiterada en la creación de una organización interprofesional que garantice, máxime en este sector, que carece de una Organización Común de Mercado, una adecuada vertebración que permita hacer frente con suficiente solvencia a las fluctuaciones de precios que provoca la climatología y las oscilaciones de la oferta y la demanda.</w:t>
      </w:r>
    </w:p>
    <w:p w:rsidR="002E1E78" w:rsidRPr="001425E3" w:rsidRDefault="002E1E78" w:rsidP="002E1E78">
      <w:pPr>
        <w:pStyle w:val="Textoindependiente3"/>
        <w:spacing w:after="0" w:line="240" w:lineRule="auto"/>
        <w:jc w:val="both"/>
        <w:rPr>
          <w:rFonts w:ascii="Arial Narrow" w:hAnsi="Arial Narrow"/>
          <w:b/>
          <w:sz w:val="24"/>
          <w:szCs w:val="24"/>
          <w:u w:val="single"/>
          <w:lang w:val="es-ES_tradnl"/>
        </w:rPr>
      </w:pPr>
    </w:p>
    <w:p w:rsidR="00C34D7C" w:rsidRDefault="00C34D7C" w:rsidP="002E1E78">
      <w:pPr>
        <w:pStyle w:val="Textoindependiente3"/>
        <w:spacing w:after="0" w:line="240" w:lineRule="auto"/>
        <w:jc w:val="both"/>
        <w:rPr>
          <w:rFonts w:ascii="Arial Narrow" w:hAnsi="Arial Narrow"/>
          <w:b/>
          <w:sz w:val="24"/>
          <w:szCs w:val="24"/>
          <w:u w:val="single"/>
        </w:rPr>
      </w:pPr>
    </w:p>
    <w:p w:rsidR="00C34D7C" w:rsidRDefault="00C34D7C" w:rsidP="002E1E78">
      <w:pPr>
        <w:pStyle w:val="Textoindependiente3"/>
        <w:spacing w:after="0" w:line="240" w:lineRule="auto"/>
        <w:jc w:val="both"/>
        <w:rPr>
          <w:rFonts w:ascii="Arial Narrow" w:hAnsi="Arial Narrow"/>
          <w:b/>
          <w:sz w:val="24"/>
          <w:szCs w:val="24"/>
          <w:u w:val="single"/>
        </w:rPr>
      </w:pPr>
    </w:p>
    <w:p w:rsidR="00C34D7C" w:rsidRDefault="00C34D7C" w:rsidP="002E1E78">
      <w:pPr>
        <w:pStyle w:val="Textoindependiente3"/>
        <w:spacing w:after="0" w:line="240" w:lineRule="auto"/>
        <w:jc w:val="both"/>
        <w:rPr>
          <w:rFonts w:ascii="Arial Narrow" w:hAnsi="Arial Narrow"/>
          <w:b/>
          <w:sz w:val="24"/>
          <w:szCs w:val="24"/>
          <w:u w:val="single"/>
        </w:rPr>
      </w:pPr>
    </w:p>
    <w:p w:rsidR="00C34D7C" w:rsidRDefault="00C34D7C" w:rsidP="002E1E78">
      <w:pPr>
        <w:pStyle w:val="Textoindependiente3"/>
        <w:spacing w:after="0" w:line="240" w:lineRule="auto"/>
        <w:jc w:val="both"/>
        <w:rPr>
          <w:rFonts w:ascii="Arial Narrow" w:hAnsi="Arial Narrow"/>
          <w:b/>
          <w:sz w:val="24"/>
          <w:szCs w:val="24"/>
          <w:u w:val="single"/>
        </w:rPr>
      </w:pPr>
    </w:p>
    <w:p w:rsidR="007229ED" w:rsidRDefault="007229ED" w:rsidP="002E1E78">
      <w:pPr>
        <w:pStyle w:val="Textoindependiente3"/>
        <w:spacing w:after="0" w:line="240" w:lineRule="auto"/>
        <w:jc w:val="both"/>
        <w:rPr>
          <w:rFonts w:ascii="Arial Narrow" w:hAnsi="Arial Narrow"/>
          <w:b/>
          <w:sz w:val="24"/>
          <w:szCs w:val="24"/>
          <w:u w:val="single"/>
        </w:rPr>
      </w:pPr>
    </w:p>
    <w:p w:rsidR="002A15A2" w:rsidRDefault="002A15A2" w:rsidP="002E1E78">
      <w:pPr>
        <w:pStyle w:val="Textoindependiente3"/>
        <w:spacing w:after="0" w:line="240" w:lineRule="auto"/>
        <w:jc w:val="both"/>
        <w:rPr>
          <w:rFonts w:ascii="Arial Narrow" w:hAnsi="Arial Narrow"/>
          <w:b/>
          <w:sz w:val="24"/>
          <w:szCs w:val="24"/>
          <w:u w:val="single"/>
        </w:rPr>
      </w:pPr>
      <w:r w:rsidRPr="002E1E78">
        <w:rPr>
          <w:rFonts w:ascii="Arial Narrow" w:hAnsi="Arial Narrow"/>
          <w:b/>
          <w:sz w:val="24"/>
          <w:szCs w:val="24"/>
          <w:u w:val="single"/>
        </w:rPr>
        <w:t>VACUNO DE LECHE</w:t>
      </w:r>
    </w:p>
    <w:p w:rsidR="002A15A2" w:rsidRPr="002E1E78" w:rsidRDefault="002A15A2" w:rsidP="002E1E78">
      <w:pPr>
        <w:jc w:val="both"/>
        <w:rPr>
          <w:rFonts w:ascii="Arial Narrow" w:eastAsia="Times New Roman" w:hAnsi="Arial Narrow" w:cs="Calibri"/>
          <w:kern w:val="0"/>
          <w:lang w:val="es-ES" w:eastAsia="en-US"/>
        </w:rPr>
      </w:pPr>
    </w:p>
    <w:p w:rsidR="006B4AF9" w:rsidRPr="002E1E78" w:rsidRDefault="006B4AF9" w:rsidP="002E1E78">
      <w:pPr>
        <w:jc w:val="both"/>
        <w:rPr>
          <w:rFonts w:ascii="Arial Narrow" w:eastAsia="Times New Roman" w:hAnsi="Arial Narrow" w:cs="Calibri"/>
          <w:kern w:val="0"/>
          <w:lang w:val="es-ES" w:eastAsia="en-US"/>
        </w:rPr>
      </w:pPr>
      <w:r w:rsidRPr="002E1E78">
        <w:rPr>
          <w:rFonts w:ascii="Arial Narrow" w:eastAsia="Times New Roman" w:hAnsi="Arial Narrow" w:cs="Calibri"/>
          <w:kern w:val="0"/>
          <w:lang w:val="es-ES" w:eastAsia="en-US"/>
        </w:rPr>
        <w:t>El precio de la leche arranca de 0,32 €/l a comienzos de año para llegar a los 0,37-0,38 €/l en las fechas actuales. Sin lugar a dudas supone un cambio de tendencia al mejorar los precios medios que los ganaderos venían percibiendo en anualidades anteriores.</w:t>
      </w:r>
    </w:p>
    <w:p w:rsidR="006B4AF9" w:rsidRPr="002E1E78" w:rsidRDefault="006B4AF9" w:rsidP="002E1E78">
      <w:pPr>
        <w:jc w:val="both"/>
        <w:rPr>
          <w:rFonts w:ascii="Arial Narrow" w:eastAsia="Times New Roman" w:hAnsi="Arial Narrow" w:cs="Calibri"/>
          <w:kern w:val="0"/>
          <w:lang w:val="es-ES" w:eastAsia="en-US"/>
        </w:rPr>
      </w:pPr>
    </w:p>
    <w:p w:rsidR="006B4AF9" w:rsidRDefault="006B4AF9" w:rsidP="002E1E78">
      <w:pPr>
        <w:jc w:val="both"/>
        <w:rPr>
          <w:rFonts w:ascii="Arial Narrow" w:hAnsi="Arial Narrow"/>
        </w:rPr>
      </w:pPr>
      <w:r w:rsidRPr="002E1E78">
        <w:rPr>
          <w:rFonts w:ascii="Arial Narrow" w:eastAsia="Times New Roman" w:hAnsi="Arial Narrow" w:cs="Calibri"/>
          <w:kern w:val="0"/>
          <w:lang w:val="es-ES" w:eastAsia="en-US"/>
        </w:rPr>
        <w:t>Sin embargo, y desdiciendo el augurio realizado</w:t>
      </w:r>
      <w:r w:rsidR="00F52DFE" w:rsidRPr="002E1E78">
        <w:rPr>
          <w:rFonts w:ascii="Arial Narrow" w:eastAsia="Times New Roman" w:hAnsi="Arial Narrow" w:cs="Calibri"/>
          <w:kern w:val="0"/>
          <w:lang w:val="es-ES" w:eastAsia="en-US"/>
        </w:rPr>
        <w:t xml:space="preserve"> a finales de 2.011</w:t>
      </w:r>
      <w:r w:rsidRPr="002E1E78">
        <w:rPr>
          <w:rFonts w:ascii="Arial Narrow" w:eastAsia="Times New Roman" w:hAnsi="Arial Narrow" w:cs="Calibri"/>
          <w:kern w:val="0"/>
          <w:lang w:val="es-ES" w:eastAsia="en-US"/>
        </w:rPr>
        <w:t xml:space="preserve"> por la otra OPA mayoritaria en el sector </w:t>
      </w:r>
      <w:r w:rsidR="00F52DFE" w:rsidRPr="002E1E78">
        <w:rPr>
          <w:rFonts w:ascii="Arial Narrow" w:eastAsia="Times New Roman" w:hAnsi="Arial Narrow" w:cs="Calibri"/>
          <w:kern w:val="0"/>
          <w:lang w:val="es-ES" w:eastAsia="en-US"/>
        </w:rPr>
        <w:t xml:space="preserve">a nivel nacional </w:t>
      </w:r>
      <w:r w:rsidRPr="002E1E78">
        <w:rPr>
          <w:rFonts w:ascii="Arial Narrow" w:eastAsia="Times New Roman" w:hAnsi="Arial Narrow" w:cs="Calibri"/>
          <w:kern w:val="0"/>
          <w:lang w:val="es-ES" w:eastAsia="en-US"/>
        </w:rPr>
        <w:t xml:space="preserve">de que la leche </w:t>
      </w:r>
      <w:r w:rsidRPr="002E1E78">
        <w:rPr>
          <w:rFonts w:ascii="Arial Narrow" w:hAnsi="Arial Narrow"/>
        </w:rPr>
        <w:t>“experimentaría una más que probable subida considerable” y que podría ser el “comienzo de la recupera</w:t>
      </w:r>
      <w:r w:rsidR="00F52DFE" w:rsidRPr="002E1E78">
        <w:rPr>
          <w:rFonts w:ascii="Arial Narrow" w:hAnsi="Arial Narrow"/>
        </w:rPr>
        <w:t>ción del sector lácteo</w:t>
      </w:r>
      <w:r w:rsidR="007229ED">
        <w:rPr>
          <w:rFonts w:ascii="Arial Narrow" w:hAnsi="Arial Narrow"/>
        </w:rPr>
        <w:t>”</w:t>
      </w:r>
      <w:r w:rsidR="001E6772" w:rsidRPr="002E1E78">
        <w:rPr>
          <w:rFonts w:ascii="Arial Narrow" w:hAnsi="Arial Narrow"/>
        </w:rPr>
        <w:t>, g</w:t>
      </w:r>
      <w:r w:rsidR="00F52DFE" w:rsidRPr="002E1E78">
        <w:rPr>
          <w:rFonts w:ascii="Arial Narrow" w:hAnsi="Arial Narrow"/>
        </w:rPr>
        <w:t>ran parte de los ganaderos que sobreviven, pese a desarrollar su actividad con pérdidas económicas, se siguen manteniendo porque en muchos casos gestionan sus explotaciones con ayuda familiar, y porque la inercia les lleva a afrontar deudas en base a inversiones  realizadas para hacerse más competitivos, y siendo conscientes de que en  el medio rural las alternativas laborales casi no existen y cuando una explotación láctea se cierra, la decisión es irreversible.</w:t>
      </w:r>
    </w:p>
    <w:p w:rsidR="00AC5463" w:rsidRPr="002E1E78" w:rsidRDefault="00AC5463" w:rsidP="002E1E78">
      <w:pPr>
        <w:jc w:val="both"/>
        <w:rPr>
          <w:rFonts w:ascii="Arial Narrow" w:hAnsi="Arial Narrow"/>
        </w:rPr>
      </w:pPr>
    </w:p>
    <w:p w:rsidR="00F52DFE" w:rsidRPr="002E1E78" w:rsidRDefault="00AC5463" w:rsidP="002E1E78">
      <w:pPr>
        <w:jc w:val="both"/>
        <w:rPr>
          <w:rFonts w:ascii="Arial Narrow" w:hAnsi="Arial Narrow"/>
        </w:rPr>
      </w:pPr>
      <w:r w:rsidRPr="002E1E78">
        <w:rPr>
          <w:rFonts w:ascii="Arial Narrow" w:hAnsi="Arial Narrow"/>
          <w:noProof/>
          <w:lang w:val="es-ES"/>
        </w:rPr>
        <w:drawing>
          <wp:inline distT="0" distB="0" distL="0" distR="0">
            <wp:extent cx="5400040" cy="5108959"/>
            <wp:effectExtent l="1905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5108959"/>
                    </a:xfrm>
                    <a:prstGeom prst="rect">
                      <a:avLst/>
                    </a:prstGeom>
                    <a:noFill/>
                    <a:ln w="9525">
                      <a:noFill/>
                      <a:miter lim="800000"/>
                      <a:headEnd/>
                      <a:tailEnd/>
                    </a:ln>
                  </pic:spPr>
                </pic:pic>
              </a:graphicData>
            </a:graphic>
          </wp:inline>
        </w:drawing>
      </w:r>
    </w:p>
    <w:p w:rsidR="00AC5463" w:rsidRDefault="00AC5463" w:rsidP="002E1E78">
      <w:pPr>
        <w:jc w:val="both"/>
        <w:rPr>
          <w:rFonts w:ascii="Arial Narrow" w:hAnsi="Arial Narrow"/>
        </w:rPr>
      </w:pPr>
    </w:p>
    <w:p w:rsidR="00AC5463" w:rsidRDefault="00AC5463" w:rsidP="002E1E78">
      <w:pPr>
        <w:jc w:val="both"/>
        <w:rPr>
          <w:rFonts w:ascii="Arial Narrow" w:hAnsi="Arial Narrow"/>
        </w:rPr>
      </w:pPr>
    </w:p>
    <w:p w:rsidR="00AC5463" w:rsidRDefault="00AC5463" w:rsidP="002E1E78">
      <w:pPr>
        <w:jc w:val="both"/>
        <w:rPr>
          <w:rFonts w:ascii="Arial Narrow" w:hAnsi="Arial Narrow"/>
        </w:rPr>
      </w:pPr>
    </w:p>
    <w:p w:rsidR="00F52DFE" w:rsidRPr="006357FA" w:rsidRDefault="00CB0779" w:rsidP="002E1E78">
      <w:pPr>
        <w:jc w:val="both"/>
        <w:rPr>
          <w:rFonts w:ascii="Arial Narrow" w:hAnsi="Arial Narrow"/>
        </w:rPr>
      </w:pPr>
      <w:r w:rsidRPr="006357FA">
        <w:rPr>
          <w:rFonts w:ascii="Arial Narrow" w:hAnsi="Arial Narrow"/>
        </w:rPr>
        <w:t>Corrobor</w:t>
      </w:r>
      <w:r w:rsidR="00F52DFE" w:rsidRPr="006357FA">
        <w:rPr>
          <w:rFonts w:ascii="Arial Narrow" w:hAnsi="Arial Narrow"/>
        </w:rPr>
        <w:t>an la situación anterior, por ejemplo, los datos elaborados a partir de los estudios de costes e ingresos</w:t>
      </w:r>
      <w:r w:rsidR="0092733F" w:rsidRPr="006357FA">
        <w:rPr>
          <w:rFonts w:ascii="Arial Narrow" w:hAnsi="Arial Narrow"/>
        </w:rPr>
        <w:t xml:space="preserve"> </w:t>
      </w:r>
      <w:r w:rsidR="005542FF" w:rsidRPr="006357FA">
        <w:rPr>
          <w:rFonts w:ascii="Arial Narrow" w:hAnsi="Arial Narrow"/>
        </w:rPr>
        <w:t>(incluido el pago único)</w:t>
      </w:r>
      <w:r w:rsidR="00F52DFE" w:rsidRPr="006357FA">
        <w:rPr>
          <w:rFonts w:ascii="Arial Narrow" w:hAnsi="Arial Narrow"/>
        </w:rPr>
        <w:t xml:space="preserve"> basados en la Red nacional de granjas típicas (RENGRATI) del Ministerio de Agricultura. Según estos análisis, haciendo un seguimiento del comportamiento de las granjas típicas en Castilla y León el precio medio percibido por el ganadero (en el entorno referido de los 0,37-0,38 €/l) es muy inferior al que debería percibir (0,433 €/l) para alcanzar un beneficio neto.</w:t>
      </w:r>
    </w:p>
    <w:p w:rsidR="00C34D7C" w:rsidRPr="006357FA" w:rsidRDefault="00C34D7C" w:rsidP="002E1E78">
      <w:pPr>
        <w:jc w:val="both"/>
        <w:rPr>
          <w:rFonts w:ascii="Arial Narrow" w:hAnsi="Arial Narrow"/>
        </w:rPr>
      </w:pPr>
    </w:p>
    <w:p w:rsidR="00C34D7C" w:rsidRPr="006357FA" w:rsidRDefault="00C34D7C" w:rsidP="00C34D7C">
      <w:pPr>
        <w:jc w:val="both"/>
        <w:rPr>
          <w:rFonts w:ascii="Arial Narrow" w:hAnsi="Arial Narrow"/>
        </w:rPr>
      </w:pPr>
      <w:r w:rsidRPr="006357FA">
        <w:rPr>
          <w:rFonts w:ascii="Arial Narrow" w:hAnsi="Arial Narrow"/>
        </w:rPr>
        <w:t xml:space="preserve">Se confirma así que </w:t>
      </w:r>
      <w:r w:rsidR="0021659D">
        <w:rPr>
          <w:rFonts w:ascii="Arial Narrow" w:hAnsi="Arial Narrow"/>
        </w:rPr>
        <w:t xml:space="preserve">desde </w:t>
      </w:r>
      <w:r w:rsidRPr="006357FA">
        <w:rPr>
          <w:rFonts w:ascii="Arial Narrow" w:hAnsi="Arial Narrow"/>
        </w:rPr>
        <w:t xml:space="preserve">nuestra Organización </w:t>
      </w:r>
      <w:r w:rsidR="0021659D" w:rsidRPr="006357FA">
        <w:rPr>
          <w:rFonts w:ascii="Arial Narrow" w:hAnsi="Arial Narrow"/>
        </w:rPr>
        <w:t>andába</w:t>
      </w:r>
      <w:r w:rsidR="0021659D">
        <w:rPr>
          <w:rFonts w:ascii="Arial Narrow" w:hAnsi="Arial Narrow"/>
        </w:rPr>
        <w:t>mos</w:t>
      </w:r>
      <w:r w:rsidRPr="006357FA">
        <w:rPr>
          <w:rFonts w:ascii="Arial Narrow" w:hAnsi="Arial Narrow"/>
        </w:rPr>
        <w:t xml:space="preserve"> bien encaminad</w:t>
      </w:r>
      <w:r w:rsidR="0021659D">
        <w:rPr>
          <w:rFonts w:ascii="Arial Narrow" w:hAnsi="Arial Narrow"/>
        </w:rPr>
        <w:t>os</w:t>
      </w:r>
      <w:r w:rsidRPr="006357FA">
        <w:rPr>
          <w:rFonts w:ascii="Arial Narrow" w:hAnsi="Arial Narrow"/>
        </w:rPr>
        <w:t xml:space="preserve"> cuando no </w:t>
      </w:r>
      <w:r w:rsidR="0021659D">
        <w:rPr>
          <w:rFonts w:ascii="Arial Narrow" w:hAnsi="Arial Narrow"/>
        </w:rPr>
        <w:t>suscribimos</w:t>
      </w:r>
      <w:r w:rsidRPr="006357FA">
        <w:rPr>
          <w:rFonts w:ascii="Arial Narrow" w:hAnsi="Arial Narrow"/>
        </w:rPr>
        <w:t xml:space="preserve"> el primer convenio firmado entre el MAGRAMA, 14 industrias lácteas y 9 empresas de la distribución en septiembre de 2.012, ni tampoco el segundo convenio en el marco del concepto de Productos Lácteos Sostenibles (PLS) de febrero de 2013. Como refleja el propio análisis de la Administración (RENGRATI), ni siquiera  la pretendida justificación del Ministro achacando una cierta recuperación del sector al hecho de que ya el 90% de la leche cruda entregada por los ganaderos se encuentre amparada por contrato ha dado frutos destacables; más al contrar</w:t>
      </w:r>
      <w:r w:rsidR="0021659D">
        <w:rPr>
          <w:rFonts w:ascii="Arial Narrow" w:hAnsi="Arial Narrow"/>
        </w:rPr>
        <w:t>io, como ha venido denunciando L</w:t>
      </w:r>
      <w:r w:rsidRPr="006357FA">
        <w:rPr>
          <w:rFonts w:ascii="Arial Narrow" w:hAnsi="Arial Narrow"/>
        </w:rPr>
        <w:t>a Alianza UPA-COAG, la obligatoriedad de suscribir los contratos por parte del ganadero únicamente ha servido para someterlo a los intereses de la industria. Por tanto, ni los convenios auspiciados por el MAGRAMA, que ni UPA ni COAG suscribieron, ni los contratos obligatorios, han supuesto una mejoría suficiente en la rentabilidad del vacuno de leche.</w:t>
      </w:r>
    </w:p>
    <w:p w:rsidR="00C34D7C" w:rsidRDefault="00C34D7C" w:rsidP="00C34D7C">
      <w:pPr>
        <w:jc w:val="both"/>
        <w:rPr>
          <w:rFonts w:ascii="Arial Narrow" w:hAnsi="Arial Narrow"/>
        </w:rPr>
      </w:pPr>
    </w:p>
    <w:p w:rsidR="000F33E2" w:rsidRPr="002E1E78" w:rsidRDefault="000F33E2" w:rsidP="00C34D7C">
      <w:pPr>
        <w:jc w:val="both"/>
        <w:rPr>
          <w:rFonts w:ascii="Arial Narrow" w:hAnsi="Arial Narrow"/>
        </w:rPr>
      </w:pPr>
    </w:p>
    <w:p w:rsidR="002E1E78" w:rsidRDefault="002E1E78" w:rsidP="002E1E78">
      <w:pPr>
        <w:jc w:val="both"/>
        <w:rPr>
          <w:rFonts w:ascii="Arial Narrow" w:hAnsi="Arial Narrow"/>
          <w:u w:val="single"/>
        </w:rPr>
      </w:pPr>
    </w:p>
    <w:p w:rsidR="000F33E2" w:rsidRDefault="000F33E2" w:rsidP="000F33E2">
      <w:pPr>
        <w:pStyle w:val="Textoindependiente3"/>
        <w:spacing w:after="0" w:line="240" w:lineRule="auto"/>
        <w:jc w:val="both"/>
        <w:rPr>
          <w:rFonts w:ascii="Arial Narrow" w:hAnsi="Arial Narrow"/>
          <w:b/>
          <w:sz w:val="24"/>
          <w:szCs w:val="24"/>
          <w:u w:val="single"/>
        </w:rPr>
      </w:pPr>
      <w:r w:rsidRPr="002E1E78">
        <w:rPr>
          <w:rFonts w:ascii="Arial Narrow" w:hAnsi="Arial Narrow"/>
          <w:b/>
          <w:sz w:val="24"/>
          <w:szCs w:val="24"/>
          <w:u w:val="single"/>
        </w:rPr>
        <w:t>A</w:t>
      </w:r>
      <w:r>
        <w:rPr>
          <w:rFonts w:ascii="Arial Narrow" w:hAnsi="Arial Narrow"/>
          <w:b/>
          <w:sz w:val="24"/>
          <w:szCs w:val="24"/>
          <w:u w:val="single"/>
        </w:rPr>
        <w:t>PICULTURA</w:t>
      </w:r>
    </w:p>
    <w:p w:rsidR="000F33E2" w:rsidRPr="002E1E78" w:rsidRDefault="000F33E2" w:rsidP="002E1E78">
      <w:pPr>
        <w:jc w:val="both"/>
        <w:rPr>
          <w:rFonts w:ascii="Arial Narrow" w:hAnsi="Arial Narrow"/>
          <w:u w:val="single"/>
        </w:rPr>
      </w:pPr>
    </w:p>
    <w:p w:rsidR="00CB0779" w:rsidRPr="002E1E78" w:rsidRDefault="00CB0779" w:rsidP="002E1E78">
      <w:pPr>
        <w:jc w:val="both"/>
        <w:rPr>
          <w:rFonts w:ascii="Arial Narrow" w:hAnsi="Arial Narrow"/>
        </w:rPr>
      </w:pPr>
    </w:p>
    <w:p w:rsidR="000F33E2" w:rsidRDefault="000F33E2" w:rsidP="000F33E2">
      <w:pPr>
        <w:jc w:val="both"/>
        <w:rPr>
          <w:rFonts w:ascii="Arial" w:hAnsi="Arial" w:cs="Arial"/>
          <w:color w:val="000080"/>
          <w:sz w:val="22"/>
          <w:szCs w:val="22"/>
        </w:rPr>
      </w:pPr>
      <w:r w:rsidRPr="000F33E2">
        <w:rPr>
          <w:rFonts w:ascii="Arial" w:hAnsi="Arial" w:cs="Arial"/>
        </w:rPr>
        <w:t>Como consecuencia de una primavera excesivamente lluviosa, la producción de miel</w:t>
      </w:r>
      <w:r w:rsidRPr="000F33E2">
        <w:rPr>
          <w:rFonts w:ascii="Arial" w:hAnsi="Arial" w:cs="Arial"/>
          <w:b/>
        </w:rPr>
        <w:t xml:space="preserve"> </w:t>
      </w:r>
      <w:r w:rsidRPr="000F33E2">
        <w:rPr>
          <w:rFonts w:ascii="Arial" w:hAnsi="Arial" w:cs="Arial"/>
        </w:rPr>
        <w:t>ha sido bastante irregular, dependiendo de las provincias en las que estuvieran asentadas las colmenas y del tipo de miel que se considere, destacando la escasa producción de mieles oscuras; aunque donde realmente se ha producido un descenso importante de la producción ha sido en el polen, obteniéndose menos de la mitad de la producción de un año normal</w:t>
      </w:r>
      <w:r>
        <w:rPr>
          <w:rFonts w:ascii="Arial" w:hAnsi="Arial" w:cs="Arial"/>
          <w:color w:val="000080"/>
          <w:sz w:val="22"/>
          <w:szCs w:val="22"/>
        </w:rPr>
        <w:t>.</w:t>
      </w:r>
    </w:p>
    <w:p w:rsidR="00E730DD" w:rsidRDefault="00E730DD" w:rsidP="002E1E78">
      <w:pPr>
        <w:jc w:val="both"/>
        <w:rPr>
          <w:rFonts w:ascii="Arial Narrow" w:hAnsi="Arial Narrow"/>
        </w:rPr>
      </w:pPr>
    </w:p>
    <w:p w:rsidR="00E730DD" w:rsidRDefault="00E730DD" w:rsidP="002E1E78">
      <w:pPr>
        <w:jc w:val="both"/>
        <w:rPr>
          <w:rFonts w:ascii="Arial Narrow" w:hAnsi="Arial Narrow"/>
        </w:rPr>
      </w:pPr>
    </w:p>
    <w:p w:rsidR="00E730DD" w:rsidRDefault="00E730DD" w:rsidP="002E1E78">
      <w:pPr>
        <w:jc w:val="both"/>
        <w:rPr>
          <w:rFonts w:ascii="Arial Narrow" w:hAnsi="Arial Narrow"/>
        </w:rPr>
      </w:pPr>
    </w:p>
    <w:p w:rsidR="00C34D7C" w:rsidRPr="002E1E78" w:rsidRDefault="00C34D7C">
      <w:pPr>
        <w:jc w:val="both"/>
        <w:rPr>
          <w:rFonts w:ascii="Arial Narrow" w:hAnsi="Arial Narrow"/>
        </w:rPr>
      </w:pPr>
    </w:p>
    <w:sectPr w:rsidR="00C34D7C" w:rsidRPr="002E1E78" w:rsidSect="00520859">
      <w:headerReference w:type="default" r:id="rId14"/>
      <w:footerReference w:type="default" r:id="rId15"/>
      <w:pgSz w:w="11906" w:h="16838" w:code="9"/>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88" w:rsidRDefault="00967288">
      <w:r>
        <w:separator/>
      </w:r>
    </w:p>
  </w:endnote>
  <w:endnote w:type="continuationSeparator" w:id="0">
    <w:p w:rsidR="00967288" w:rsidRDefault="009672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C2" w:rsidRPr="00B431FA" w:rsidRDefault="002733C2" w:rsidP="002733C2">
    <w:pPr>
      <w:pStyle w:val="Encabezado"/>
      <w:pBdr>
        <w:bottom w:val="single" w:sz="12" w:space="1" w:color="auto"/>
      </w:pBdr>
      <w:jc w:val="center"/>
      <w:rPr>
        <w:rFonts w:ascii="Verdana" w:hAnsi="Verdana" w:cs="Verdana"/>
        <w:b/>
        <w:bCs/>
        <w:sz w:val="20"/>
        <w:szCs w:val="20"/>
      </w:rPr>
    </w:pPr>
    <w:r w:rsidRPr="00B431FA">
      <w:rPr>
        <w:rFonts w:ascii="Verdana" w:hAnsi="Verdana" w:cs="Verdana"/>
        <w:b/>
        <w:bCs/>
        <w:sz w:val="20"/>
        <w:szCs w:val="20"/>
      </w:rPr>
      <w:t>ALIANZA POR LA UNIDAD DEL CAMPO</w:t>
    </w:r>
  </w:p>
  <w:p w:rsidR="002733C2" w:rsidRPr="00271983" w:rsidRDefault="00271983" w:rsidP="00271983">
    <w:pPr>
      <w:pStyle w:val="Piedepgina"/>
      <w:jc w:val="center"/>
      <w:rPr>
        <w:rFonts w:ascii="Arial" w:hAnsi="Arial" w:cs="Arial"/>
        <w:sz w:val="20"/>
        <w:szCs w:val="20"/>
      </w:rPr>
    </w:pPr>
    <w:r w:rsidRPr="00271983">
      <w:rPr>
        <w:rFonts w:ascii="Arial" w:hAnsi="Arial" w:cs="Arial"/>
        <w:sz w:val="20"/>
        <w:szCs w:val="20"/>
      </w:rPr>
      <w:t>C/ Pío del Río Hortega nº 6-bajo.  47014 -VALLADOLID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88" w:rsidRDefault="00967288">
      <w:r>
        <w:separator/>
      </w:r>
    </w:p>
  </w:footnote>
  <w:footnote w:type="continuationSeparator" w:id="0">
    <w:p w:rsidR="00967288" w:rsidRDefault="00967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C2" w:rsidRDefault="00E3566A" w:rsidP="00520859">
    <w:pPr>
      <w:pStyle w:val="Encabezado"/>
      <w:jc w:val="center"/>
    </w:pPr>
    <w:r>
      <w:rPr>
        <w:noProof/>
        <w:lang w:val="es-ES"/>
      </w:rPr>
      <w:pict>
        <v:line id="_x0000_s2054" style="position:absolute;left:0;text-align:left;z-index:251657728" from="0,83.15pt" to="423pt,83.15pt"/>
      </w:pict>
    </w:r>
    <w:r w:rsidR="00B17A29">
      <w:rPr>
        <w:noProof/>
        <w:lang w:val="es-ES"/>
      </w:rPr>
      <w:drawing>
        <wp:inline distT="0" distB="0" distL="0" distR="0">
          <wp:extent cx="3343275" cy="1133475"/>
          <wp:effectExtent l="19050" t="0" r="9525" b="0"/>
          <wp:docPr id="11" name="Imagen 11" descr="LOGO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ALIANZA"/>
                  <pic:cNvPicPr>
                    <a:picLocks noChangeAspect="1" noChangeArrowheads="1"/>
                  </pic:cNvPicPr>
                </pic:nvPicPr>
                <pic:blipFill>
                  <a:blip r:embed="rId1"/>
                  <a:srcRect/>
                  <a:stretch>
                    <a:fillRect/>
                  </a:stretch>
                </pic:blipFill>
                <pic:spPr bwMode="auto">
                  <a:xfrm>
                    <a:off x="0" y="0"/>
                    <a:ext cx="3343275" cy="1133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61BB"/>
    <w:multiLevelType w:val="hybridMultilevel"/>
    <w:tmpl w:val="4C42E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8DE645F"/>
    <w:multiLevelType w:val="hybridMultilevel"/>
    <w:tmpl w:val="A9C0A2F8"/>
    <w:lvl w:ilvl="0" w:tplc="01FA307E">
      <w:numFmt w:val="bullet"/>
      <w:lvlText w:val=""/>
      <w:lvlJc w:val="left"/>
      <w:pPr>
        <w:ind w:left="1065" w:hanging="360"/>
      </w:pPr>
      <w:rPr>
        <w:rFonts w:ascii="Symbol" w:eastAsia="Times New Roman" w:hAnsi="Symbo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2733C2"/>
    <w:rsid w:val="00006FDA"/>
    <w:rsid w:val="000128A0"/>
    <w:rsid w:val="00032A4F"/>
    <w:rsid w:val="000353FA"/>
    <w:rsid w:val="00044E47"/>
    <w:rsid w:val="00050754"/>
    <w:rsid w:val="00070594"/>
    <w:rsid w:val="0008472E"/>
    <w:rsid w:val="0009390F"/>
    <w:rsid w:val="000B30B0"/>
    <w:rsid w:val="000E2F61"/>
    <w:rsid w:val="000F2AF6"/>
    <w:rsid w:val="000F33E2"/>
    <w:rsid w:val="001425E3"/>
    <w:rsid w:val="00167997"/>
    <w:rsid w:val="001A5484"/>
    <w:rsid w:val="001B1E01"/>
    <w:rsid w:val="001C6D8E"/>
    <w:rsid w:val="001D7147"/>
    <w:rsid w:val="001E6772"/>
    <w:rsid w:val="00215F63"/>
    <w:rsid w:val="0021659D"/>
    <w:rsid w:val="00271983"/>
    <w:rsid w:val="002733C2"/>
    <w:rsid w:val="00274715"/>
    <w:rsid w:val="002A15A2"/>
    <w:rsid w:val="002A17A9"/>
    <w:rsid w:val="002B679A"/>
    <w:rsid w:val="002E1E78"/>
    <w:rsid w:val="00300066"/>
    <w:rsid w:val="00301F20"/>
    <w:rsid w:val="00340E4A"/>
    <w:rsid w:val="00364B26"/>
    <w:rsid w:val="003668A3"/>
    <w:rsid w:val="00374D07"/>
    <w:rsid w:val="003A31B3"/>
    <w:rsid w:val="003B2335"/>
    <w:rsid w:val="00413A8F"/>
    <w:rsid w:val="00433CA1"/>
    <w:rsid w:val="00461741"/>
    <w:rsid w:val="00462D2F"/>
    <w:rsid w:val="00493318"/>
    <w:rsid w:val="004953F3"/>
    <w:rsid w:val="004E2E8B"/>
    <w:rsid w:val="004F0A29"/>
    <w:rsid w:val="00503C6D"/>
    <w:rsid w:val="005131FF"/>
    <w:rsid w:val="00520859"/>
    <w:rsid w:val="00550A2C"/>
    <w:rsid w:val="005542FF"/>
    <w:rsid w:val="00562CB9"/>
    <w:rsid w:val="00585897"/>
    <w:rsid w:val="005A4C6F"/>
    <w:rsid w:val="005A6537"/>
    <w:rsid w:val="005F3A93"/>
    <w:rsid w:val="006357FA"/>
    <w:rsid w:val="00653384"/>
    <w:rsid w:val="0065444A"/>
    <w:rsid w:val="00670BDC"/>
    <w:rsid w:val="006A416C"/>
    <w:rsid w:val="006B026B"/>
    <w:rsid w:val="006B2A2C"/>
    <w:rsid w:val="006B4AF9"/>
    <w:rsid w:val="006C1E03"/>
    <w:rsid w:val="006D202F"/>
    <w:rsid w:val="006D4652"/>
    <w:rsid w:val="006E3290"/>
    <w:rsid w:val="006E3390"/>
    <w:rsid w:val="006F06B2"/>
    <w:rsid w:val="006F1268"/>
    <w:rsid w:val="006F1383"/>
    <w:rsid w:val="00700F8E"/>
    <w:rsid w:val="0072281A"/>
    <w:rsid w:val="007229ED"/>
    <w:rsid w:val="007344C8"/>
    <w:rsid w:val="0074314F"/>
    <w:rsid w:val="007511CB"/>
    <w:rsid w:val="00783083"/>
    <w:rsid w:val="00784F07"/>
    <w:rsid w:val="00785873"/>
    <w:rsid w:val="0084477C"/>
    <w:rsid w:val="008812E3"/>
    <w:rsid w:val="00897A1A"/>
    <w:rsid w:val="008A4C5A"/>
    <w:rsid w:val="008E23DE"/>
    <w:rsid w:val="008E7EC9"/>
    <w:rsid w:val="00915B94"/>
    <w:rsid w:val="00922EE2"/>
    <w:rsid w:val="0092733F"/>
    <w:rsid w:val="00934005"/>
    <w:rsid w:val="00944620"/>
    <w:rsid w:val="00960279"/>
    <w:rsid w:val="00967288"/>
    <w:rsid w:val="00995794"/>
    <w:rsid w:val="00A27A3D"/>
    <w:rsid w:val="00A41A36"/>
    <w:rsid w:val="00A56B8C"/>
    <w:rsid w:val="00AB54A3"/>
    <w:rsid w:val="00AC5463"/>
    <w:rsid w:val="00B17A29"/>
    <w:rsid w:val="00B6001F"/>
    <w:rsid w:val="00B62FB7"/>
    <w:rsid w:val="00B7431C"/>
    <w:rsid w:val="00B85996"/>
    <w:rsid w:val="00C02ACC"/>
    <w:rsid w:val="00C224A3"/>
    <w:rsid w:val="00C230DA"/>
    <w:rsid w:val="00C33FDA"/>
    <w:rsid w:val="00C34D7C"/>
    <w:rsid w:val="00C364F4"/>
    <w:rsid w:val="00C72082"/>
    <w:rsid w:val="00C83702"/>
    <w:rsid w:val="00C90D7E"/>
    <w:rsid w:val="00CB0779"/>
    <w:rsid w:val="00CB2DFB"/>
    <w:rsid w:val="00CE2D46"/>
    <w:rsid w:val="00D370DA"/>
    <w:rsid w:val="00D45E29"/>
    <w:rsid w:val="00D51201"/>
    <w:rsid w:val="00D75B2A"/>
    <w:rsid w:val="00D96B4D"/>
    <w:rsid w:val="00DA3EA1"/>
    <w:rsid w:val="00DD4B88"/>
    <w:rsid w:val="00DE20D7"/>
    <w:rsid w:val="00DF214D"/>
    <w:rsid w:val="00E2138B"/>
    <w:rsid w:val="00E31829"/>
    <w:rsid w:val="00E3566A"/>
    <w:rsid w:val="00E3614E"/>
    <w:rsid w:val="00E6665A"/>
    <w:rsid w:val="00E715C8"/>
    <w:rsid w:val="00E730DD"/>
    <w:rsid w:val="00E87422"/>
    <w:rsid w:val="00EA60C6"/>
    <w:rsid w:val="00EC3D34"/>
    <w:rsid w:val="00F04770"/>
    <w:rsid w:val="00F04E38"/>
    <w:rsid w:val="00F272CD"/>
    <w:rsid w:val="00F41A5B"/>
    <w:rsid w:val="00F47738"/>
    <w:rsid w:val="00F52DFE"/>
    <w:rsid w:val="00F5395A"/>
    <w:rsid w:val="00F60514"/>
    <w:rsid w:val="00F64697"/>
    <w:rsid w:val="00F70A21"/>
    <w:rsid w:val="00F74D8C"/>
    <w:rsid w:val="00F946D8"/>
    <w:rsid w:val="00F972FF"/>
    <w:rsid w:val="00FE4BEA"/>
    <w:rsid w:val="00FF07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3C2"/>
    <w:pPr>
      <w:widowControl w:val="0"/>
      <w:suppressAutoHyphens/>
    </w:pPr>
    <w:rPr>
      <w:rFonts w:eastAsia="Arial Unicode MS"/>
      <w:kern w:val="1"/>
      <w:sz w:val="24"/>
      <w:szCs w:val="24"/>
      <w:lang w:val="es-ES_tradnl"/>
    </w:rPr>
  </w:style>
  <w:style w:type="paragraph" w:styleId="Ttulo2">
    <w:name w:val="heading 2"/>
    <w:basedOn w:val="Normal"/>
    <w:next w:val="Normal"/>
    <w:qFormat/>
    <w:rsid w:val="00433CA1"/>
    <w:pPr>
      <w:keepNext/>
      <w:widowControl/>
      <w:suppressAutoHyphens w:val="0"/>
      <w:jc w:val="center"/>
      <w:outlineLvl w:val="1"/>
    </w:pPr>
    <w:rPr>
      <w:rFonts w:ascii="Arial" w:eastAsia="Times New Roman" w:hAnsi="Arial" w:cs="Arial"/>
      <w:b/>
      <w:bCs/>
      <w:i/>
      <w:iCs/>
      <w:kern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33C2"/>
    <w:pPr>
      <w:tabs>
        <w:tab w:val="center" w:pos="4252"/>
        <w:tab w:val="right" w:pos="8504"/>
      </w:tabs>
    </w:pPr>
  </w:style>
  <w:style w:type="character" w:customStyle="1" w:styleId="EncabezadoCar">
    <w:name w:val="Encabezado Car"/>
    <w:basedOn w:val="Fuentedeprrafopredeter"/>
    <w:link w:val="Encabezado"/>
    <w:semiHidden/>
    <w:rsid w:val="002733C2"/>
    <w:rPr>
      <w:rFonts w:eastAsia="Arial Unicode MS"/>
      <w:kern w:val="1"/>
      <w:sz w:val="24"/>
      <w:szCs w:val="24"/>
      <w:lang w:val="es-ES_tradnl" w:bidi="ar-SA"/>
    </w:rPr>
  </w:style>
  <w:style w:type="paragraph" w:styleId="Piedepgina">
    <w:name w:val="footer"/>
    <w:basedOn w:val="Normal"/>
    <w:rsid w:val="002733C2"/>
    <w:pPr>
      <w:tabs>
        <w:tab w:val="center" w:pos="4252"/>
        <w:tab w:val="right" w:pos="8504"/>
      </w:tabs>
    </w:pPr>
  </w:style>
  <w:style w:type="paragraph" w:styleId="Mapadeldocumento">
    <w:name w:val="Document Map"/>
    <w:basedOn w:val="Normal"/>
    <w:semiHidden/>
    <w:rsid w:val="00374D07"/>
    <w:pPr>
      <w:shd w:val="clear" w:color="auto" w:fill="000080"/>
    </w:pPr>
    <w:rPr>
      <w:rFonts w:ascii="Tahoma" w:hAnsi="Tahoma" w:cs="Tahoma"/>
      <w:sz w:val="20"/>
      <w:szCs w:val="20"/>
    </w:rPr>
  </w:style>
  <w:style w:type="character" w:customStyle="1" w:styleId="entradilla11">
    <w:name w:val="entradilla11"/>
    <w:basedOn w:val="Fuentedeprrafopredeter"/>
    <w:rsid w:val="00433CA1"/>
    <w:rPr>
      <w:rFonts w:ascii="Verdana" w:hAnsi="Verdana" w:hint="default"/>
      <w:b/>
      <w:bCs/>
      <w:color w:val="484F5E"/>
      <w:sz w:val="17"/>
      <w:szCs w:val="17"/>
    </w:rPr>
  </w:style>
  <w:style w:type="paragraph" w:styleId="Textodeglobo">
    <w:name w:val="Balloon Text"/>
    <w:basedOn w:val="Normal"/>
    <w:link w:val="TextodegloboCar"/>
    <w:rsid w:val="00520859"/>
    <w:rPr>
      <w:rFonts w:ascii="Tahoma" w:hAnsi="Tahoma" w:cs="Tahoma"/>
      <w:sz w:val="16"/>
      <w:szCs w:val="16"/>
    </w:rPr>
  </w:style>
  <w:style w:type="character" w:customStyle="1" w:styleId="TextodegloboCar">
    <w:name w:val="Texto de globo Car"/>
    <w:basedOn w:val="Fuentedeprrafopredeter"/>
    <w:link w:val="Textodeglobo"/>
    <w:rsid w:val="00520859"/>
    <w:rPr>
      <w:rFonts w:ascii="Tahoma" w:eastAsia="Arial Unicode MS" w:hAnsi="Tahoma" w:cs="Tahoma"/>
      <w:kern w:val="1"/>
      <w:sz w:val="16"/>
      <w:szCs w:val="16"/>
      <w:lang w:val="es-ES_tradnl"/>
    </w:rPr>
  </w:style>
  <w:style w:type="paragraph" w:styleId="Textoindependiente3">
    <w:name w:val="Body Text 3"/>
    <w:basedOn w:val="Normal"/>
    <w:rsid w:val="002A15A2"/>
    <w:pPr>
      <w:widowControl/>
      <w:suppressAutoHyphens w:val="0"/>
      <w:spacing w:after="120" w:line="276" w:lineRule="auto"/>
    </w:pPr>
    <w:rPr>
      <w:rFonts w:ascii="Calibri" w:eastAsia="Times New Roman" w:hAnsi="Calibri" w:cs="Calibri"/>
      <w:kern w:val="0"/>
      <w:sz w:val="16"/>
      <w:szCs w:val="16"/>
      <w:lang w:val="es-ES" w:eastAsia="en-US"/>
    </w:rPr>
  </w:style>
  <w:style w:type="paragraph" w:customStyle="1" w:styleId="Prrafodelista1">
    <w:name w:val="Párrafo de lista1"/>
    <w:basedOn w:val="Normal"/>
    <w:rsid w:val="002A15A2"/>
    <w:pPr>
      <w:ind w:left="708"/>
    </w:pPr>
    <w:rPr>
      <w:rFonts w:eastAsia="Times New Roman"/>
    </w:rPr>
  </w:style>
  <w:style w:type="character" w:customStyle="1" w:styleId="titular">
    <w:name w:val="titular"/>
    <w:basedOn w:val="Fuentedeprrafopredeter"/>
    <w:rsid w:val="00AB54A3"/>
  </w:style>
  <w:style w:type="paragraph" w:styleId="Prrafodelista">
    <w:name w:val="List Paragraph"/>
    <w:basedOn w:val="Normal"/>
    <w:uiPriority w:val="34"/>
    <w:qFormat/>
    <w:rsid w:val="00D45E29"/>
    <w:pPr>
      <w:ind w:left="720"/>
      <w:contextualSpacing/>
    </w:pPr>
  </w:style>
</w:styles>
</file>

<file path=word/webSettings.xml><?xml version="1.0" encoding="utf-8"?>
<w:webSettings xmlns:r="http://schemas.openxmlformats.org/officeDocument/2006/relationships" xmlns:w="http://schemas.openxmlformats.org/wordprocessingml/2006/main">
  <w:divs>
    <w:div w:id="92868143">
      <w:bodyDiv w:val="1"/>
      <w:marLeft w:val="0"/>
      <w:marRight w:val="0"/>
      <w:marTop w:val="0"/>
      <w:marBottom w:val="0"/>
      <w:divBdr>
        <w:top w:val="none" w:sz="0" w:space="0" w:color="auto"/>
        <w:left w:val="none" w:sz="0" w:space="0" w:color="auto"/>
        <w:bottom w:val="none" w:sz="0" w:space="0" w:color="auto"/>
        <w:right w:val="none" w:sz="0" w:space="0" w:color="auto"/>
      </w:divBdr>
    </w:div>
    <w:div w:id="933172495">
      <w:bodyDiv w:val="1"/>
      <w:marLeft w:val="0"/>
      <w:marRight w:val="0"/>
      <w:marTop w:val="0"/>
      <w:marBottom w:val="0"/>
      <w:divBdr>
        <w:top w:val="none" w:sz="0" w:space="0" w:color="auto"/>
        <w:left w:val="none" w:sz="0" w:space="0" w:color="auto"/>
        <w:bottom w:val="none" w:sz="0" w:space="0" w:color="auto"/>
        <w:right w:val="none" w:sz="0" w:space="0" w:color="auto"/>
      </w:divBdr>
      <w:divsChild>
        <w:div w:id="1896618050">
          <w:marLeft w:val="0"/>
          <w:marRight w:val="0"/>
          <w:marTop w:val="100"/>
          <w:marBottom w:val="100"/>
          <w:divBdr>
            <w:top w:val="none" w:sz="0" w:space="0" w:color="auto"/>
            <w:left w:val="none" w:sz="0" w:space="0" w:color="auto"/>
            <w:bottom w:val="none" w:sz="0" w:space="0" w:color="auto"/>
            <w:right w:val="none" w:sz="0" w:space="0" w:color="auto"/>
          </w:divBdr>
          <w:divsChild>
            <w:div w:id="956525008">
              <w:marLeft w:val="0"/>
              <w:marRight w:val="0"/>
              <w:marTop w:val="0"/>
              <w:marBottom w:val="0"/>
              <w:divBdr>
                <w:top w:val="none" w:sz="0" w:space="0" w:color="auto"/>
                <w:left w:val="none" w:sz="0" w:space="0" w:color="auto"/>
                <w:bottom w:val="none" w:sz="0" w:space="0" w:color="auto"/>
                <w:right w:val="none" w:sz="0" w:space="0" w:color="auto"/>
              </w:divBdr>
              <w:divsChild>
                <w:div w:id="1373766000">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 w:id="1120344395">
      <w:bodyDiv w:val="1"/>
      <w:marLeft w:val="0"/>
      <w:marRight w:val="0"/>
      <w:marTop w:val="0"/>
      <w:marBottom w:val="0"/>
      <w:divBdr>
        <w:top w:val="none" w:sz="0" w:space="0" w:color="auto"/>
        <w:left w:val="none" w:sz="0" w:space="0" w:color="auto"/>
        <w:bottom w:val="none" w:sz="0" w:space="0" w:color="auto"/>
        <w:right w:val="none" w:sz="0" w:space="0" w:color="auto"/>
      </w:divBdr>
      <w:divsChild>
        <w:div w:id="1226376067">
          <w:marLeft w:val="0"/>
          <w:marRight w:val="0"/>
          <w:marTop w:val="100"/>
          <w:marBottom w:val="100"/>
          <w:divBdr>
            <w:top w:val="none" w:sz="0" w:space="0" w:color="auto"/>
            <w:left w:val="none" w:sz="0" w:space="0" w:color="auto"/>
            <w:bottom w:val="none" w:sz="0" w:space="0" w:color="auto"/>
            <w:right w:val="none" w:sz="0" w:space="0" w:color="auto"/>
          </w:divBdr>
          <w:divsChild>
            <w:div w:id="964043680">
              <w:marLeft w:val="0"/>
              <w:marRight w:val="0"/>
              <w:marTop w:val="0"/>
              <w:marBottom w:val="0"/>
              <w:divBdr>
                <w:top w:val="none" w:sz="0" w:space="0" w:color="auto"/>
                <w:left w:val="none" w:sz="0" w:space="0" w:color="auto"/>
                <w:bottom w:val="none" w:sz="0" w:space="0" w:color="auto"/>
                <w:right w:val="none" w:sz="0" w:space="0" w:color="auto"/>
              </w:divBdr>
              <w:divsChild>
                <w:div w:id="879248330">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 w:id="1633093548">
      <w:bodyDiv w:val="1"/>
      <w:marLeft w:val="0"/>
      <w:marRight w:val="0"/>
      <w:marTop w:val="0"/>
      <w:marBottom w:val="0"/>
      <w:divBdr>
        <w:top w:val="none" w:sz="0" w:space="0" w:color="auto"/>
        <w:left w:val="none" w:sz="0" w:space="0" w:color="auto"/>
        <w:bottom w:val="none" w:sz="0" w:space="0" w:color="auto"/>
        <w:right w:val="none" w:sz="0" w:space="0" w:color="auto"/>
      </w:divBdr>
      <w:divsChild>
        <w:div w:id="1932084742">
          <w:marLeft w:val="0"/>
          <w:marRight w:val="0"/>
          <w:marTop w:val="100"/>
          <w:marBottom w:val="100"/>
          <w:divBdr>
            <w:top w:val="none" w:sz="0" w:space="0" w:color="auto"/>
            <w:left w:val="none" w:sz="0" w:space="0" w:color="auto"/>
            <w:bottom w:val="none" w:sz="0" w:space="0" w:color="auto"/>
            <w:right w:val="none" w:sz="0" w:space="0" w:color="auto"/>
          </w:divBdr>
          <w:divsChild>
            <w:div w:id="478613291">
              <w:marLeft w:val="0"/>
              <w:marRight w:val="0"/>
              <w:marTop w:val="0"/>
              <w:marBottom w:val="0"/>
              <w:divBdr>
                <w:top w:val="none" w:sz="0" w:space="0" w:color="auto"/>
                <w:left w:val="none" w:sz="0" w:space="0" w:color="auto"/>
                <w:bottom w:val="none" w:sz="0" w:space="0" w:color="auto"/>
                <w:right w:val="none" w:sz="0" w:space="0" w:color="auto"/>
              </w:divBdr>
              <w:divsChild>
                <w:div w:id="927351743">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 w:id="1648896110">
      <w:bodyDiv w:val="1"/>
      <w:marLeft w:val="0"/>
      <w:marRight w:val="0"/>
      <w:marTop w:val="0"/>
      <w:marBottom w:val="0"/>
      <w:divBdr>
        <w:top w:val="none" w:sz="0" w:space="0" w:color="auto"/>
        <w:left w:val="none" w:sz="0" w:space="0" w:color="auto"/>
        <w:bottom w:val="none" w:sz="0" w:space="0" w:color="auto"/>
        <w:right w:val="none" w:sz="0" w:space="0" w:color="auto"/>
      </w:divBdr>
    </w:div>
    <w:div w:id="17248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6039-AE5A-48ED-8EEA-9F108D0C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1965</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BALANCE AGRARIO 2012 EN CASTILLA Y LEÓN</vt:lpstr>
    </vt:vector>
  </TitlesOfParts>
  <Company>UPA</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AGRARIO 2012 EN CASTILLA Y LEÓN</dc:title>
  <dc:creator>Francisco</dc:creator>
  <cp:lastModifiedBy>Usuario</cp:lastModifiedBy>
  <cp:revision>8</cp:revision>
  <cp:lastPrinted>2013-12-26T13:25:00Z</cp:lastPrinted>
  <dcterms:created xsi:type="dcterms:W3CDTF">2013-12-27T08:36:00Z</dcterms:created>
  <dcterms:modified xsi:type="dcterms:W3CDTF">2013-12-27T08:57:00Z</dcterms:modified>
</cp:coreProperties>
</file>