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B6262" w:rsidRPr="00127B02" w:rsidRDefault="001B6262" w:rsidP="00534985">
      <w:pPr>
        <w:pStyle w:val="Textosinformato"/>
        <w:spacing w:before="240" w:after="240" w:line="276" w:lineRule="auto"/>
        <w:rPr>
          <w:b/>
          <w:sz w:val="28"/>
        </w:rPr>
      </w:pPr>
    </w:p>
    <w:p w:rsidR="00383832" w:rsidRPr="00127B02" w:rsidRDefault="00F70119" w:rsidP="00CA3670">
      <w:pPr>
        <w:pStyle w:val="Textosinformato"/>
        <w:spacing w:before="240" w:after="240" w:line="276" w:lineRule="auto"/>
        <w:jc w:val="center"/>
        <w:rPr>
          <w:b/>
          <w:sz w:val="28"/>
        </w:rPr>
      </w:pPr>
      <w:r w:rsidRPr="00127B02">
        <w:rPr>
          <w:b/>
          <w:sz w:val="28"/>
        </w:rPr>
        <w:t>El sistema agroalimentario</w:t>
      </w:r>
      <w:r w:rsidR="000E11AB" w:rsidRPr="00127B02">
        <w:rPr>
          <w:b/>
          <w:sz w:val="28"/>
        </w:rPr>
        <w:t xml:space="preserve">, el comercio, la distribución y la hostelería </w:t>
      </w:r>
      <w:r w:rsidRPr="00127B02">
        <w:rPr>
          <w:b/>
          <w:sz w:val="28"/>
        </w:rPr>
        <w:t>consideran inasumible una nueva subida del IVA y animan a apoyar fiscalmente la incipiente recuperación</w:t>
      </w:r>
    </w:p>
    <w:p w:rsidR="00F70119" w:rsidRPr="00127B02" w:rsidRDefault="00383832" w:rsidP="00CA3670">
      <w:pPr>
        <w:pStyle w:val="Textosinformato"/>
        <w:numPr>
          <w:ilvl w:val="0"/>
          <w:numId w:val="6"/>
        </w:numPr>
        <w:spacing w:line="276" w:lineRule="auto"/>
        <w:jc w:val="both"/>
        <w:rPr>
          <w:i/>
          <w:szCs w:val="22"/>
        </w:rPr>
      </w:pPr>
      <w:r w:rsidRPr="00127B02">
        <w:rPr>
          <w:i/>
          <w:szCs w:val="22"/>
        </w:rPr>
        <w:t>Ante la fuerte escalada experimentada por los costes fiscales</w:t>
      </w:r>
      <w:r w:rsidR="00F70119" w:rsidRPr="00127B02">
        <w:rPr>
          <w:i/>
          <w:szCs w:val="22"/>
        </w:rPr>
        <w:t xml:space="preserve"> y regulatorios</w:t>
      </w:r>
      <w:r w:rsidRPr="00127B02">
        <w:rPr>
          <w:i/>
          <w:szCs w:val="22"/>
        </w:rPr>
        <w:t>, los sectores ligados a</w:t>
      </w:r>
      <w:r w:rsidR="00F70119" w:rsidRPr="00127B02">
        <w:rPr>
          <w:i/>
          <w:szCs w:val="22"/>
        </w:rPr>
        <w:t xml:space="preserve">l consumo consideran </w:t>
      </w:r>
      <w:r w:rsidRPr="00127B02">
        <w:rPr>
          <w:i/>
          <w:szCs w:val="22"/>
        </w:rPr>
        <w:t>inasumible c</w:t>
      </w:r>
      <w:r w:rsidR="00F70119" w:rsidRPr="00127B02">
        <w:rPr>
          <w:i/>
          <w:szCs w:val="22"/>
        </w:rPr>
        <w:t>ualquier modificación del IVA que afecte a pro</w:t>
      </w:r>
      <w:bookmarkStart w:id="0" w:name="_GoBack"/>
      <w:bookmarkEnd w:id="0"/>
      <w:r w:rsidR="00F70119" w:rsidRPr="00127B02">
        <w:rPr>
          <w:i/>
          <w:szCs w:val="22"/>
        </w:rPr>
        <w:t>ductos básicos para los consumidores.</w:t>
      </w:r>
    </w:p>
    <w:p w:rsidR="00F70119" w:rsidRPr="00127B02" w:rsidRDefault="00383832" w:rsidP="00CA3670">
      <w:pPr>
        <w:pStyle w:val="Textosinformato"/>
        <w:numPr>
          <w:ilvl w:val="0"/>
          <w:numId w:val="6"/>
        </w:numPr>
        <w:spacing w:line="276" w:lineRule="auto"/>
        <w:jc w:val="both"/>
        <w:rPr>
          <w:i/>
          <w:szCs w:val="22"/>
        </w:rPr>
      </w:pPr>
      <w:r w:rsidRPr="00127B02">
        <w:rPr>
          <w:i/>
          <w:szCs w:val="22"/>
        </w:rPr>
        <w:t>Los buenos augurios d</w:t>
      </w:r>
      <w:r w:rsidR="00F70119" w:rsidRPr="00127B02">
        <w:rPr>
          <w:i/>
          <w:szCs w:val="22"/>
        </w:rPr>
        <w:t>e la economía pueden quedarse só</w:t>
      </w:r>
      <w:r w:rsidRPr="00127B02">
        <w:rPr>
          <w:i/>
          <w:szCs w:val="22"/>
        </w:rPr>
        <w:t>lo en eso, si se siguen incrementa</w:t>
      </w:r>
      <w:r w:rsidR="00CA3670" w:rsidRPr="00127B02">
        <w:rPr>
          <w:i/>
          <w:szCs w:val="22"/>
        </w:rPr>
        <w:t>ndo los costes de las empresas.</w:t>
      </w:r>
    </w:p>
    <w:p w:rsidR="00F70119" w:rsidRPr="00127B02" w:rsidRDefault="00383832" w:rsidP="00CA3670">
      <w:pPr>
        <w:pStyle w:val="Textosinformato"/>
        <w:numPr>
          <w:ilvl w:val="0"/>
          <w:numId w:val="6"/>
        </w:numPr>
        <w:spacing w:line="276" w:lineRule="auto"/>
        <w:jc w:val="both"/>
        <w:rPr>
          <w:i/>
          <w:szCs w:val="22"/>
        </w:rPr>
      </w:pPr>
      <w:r w:rsidRPr="00127B02">
        <w:rPr>
          <w:i/>
          <w:szCs w:val="22"/>
        </w:rPr>
        <w:t>La</w:t>
      </w:r>
      <w:r w:rsidR="00245A9A" w:rsidRPr="00127B02">
        <w:rPr>
          <w:i/>
          <w:szCs w:val="22"/>
        </w:rPr>
        <w:t xml:space="preserve"> </w:t>
      </w:r>
      <w:r w:rsidRPr="00127B02">
        <w:rPr>
          <w:i/>
          <w:szCs w:val="22"/>
        </w:rPr>
        <w:t>presión impositiva puede acabar con la recuperación incipiente del consumo tras más de 6 años ininterrumpidos de decrecimiento</w:t>
      </w:r>
      <w:r w:rsidR="00CA3670" w:rsidRPr="00127B02">
        <w:rPr>
          <w:i/>
          <w:szCs w:val="22"/>
        </w:rPr>
        <w:t>.</w:t>
      </w:r>
    </w:p>
    <w:p w:rsidR="00383832" w:rsidRPr="00CA3670" w:rsidRDefault="00F70119" w:rsidP="00CA3670">
      <w:pPr>
        <w:pStyle w:val="Textosinformato"/>
        <w:spacing w:before="240" w:after="240" w:line="276" w:lineRule="auto"/>
        <w:jc w:val="both"/>
        <w:rPr>
          <w:szCs w:val="22"/>
        </w:rPr>
      </w:pPr>
      <w:r w:rsidRPr="00127B02">
        <w:rPr>
          <w:b/>
          <w:szCs w:val="22"/>
        </w:rPr>
        <w:t>Madrid, 5 de marzo de 2014.</w:t>
      </w:r>
      <w:r w:rsidRPr="00CA3670">
        <w:rPr>
          <w:szCs w:val="22"/>
        </w:rPr>
        <w:t xml:space="preserve"> </w:t>
      </w:r>
      <w:r w:rsidR="00383832" w:rsidRPr="00CA3670">
        <w:rPr>
          <w:szCs w:val="22"/>
        </w:rPr>
        <w:t>En un momento en el que la discusión económica se centra en las medidas para reindustrializar e incrementar el empleo, parecen contradictor</w:t>
      </w:r>
      <w:r w:rsidRPr="00CA3670">
        <w:rPr>
          <w:szCs w:val="22"/>
        </w:rPr>
        <w:t>ias las medidas tomadas por el G</w:t>
      </w:r>
      <w:r w:rsidR="00383832" w:rsidRPr="00CA3670">
        <w:rPr>
          <w:szCs w:val="22"/>
        </w:rPr>
        <w:t>obierno</w:t>
      </w:r>
      <w:r w:rsidRPr="00CA3670">
        <w:rPr>
          <w:szCs w:val="22"/>
        </w:rPr>
        <w:t xml:space="preserve"> en materia</w:t>
      </w:r>
      <w:r w:rsidR="00383832" w:rsidRPr="00CA3670">
        <w:rPr>
          <w:szCs w:val="22"/>
        </w:rPr>
        <w:t xml:space="preserve"> de fiscalidad ambiental, incremento de costes laborales (cotizaciones a la Seguridad Social), aumento de los costes eléctricos y la aparición de nuevas figuras</w:t>
      </w:r>
      <w:r w:rsidR="000E11AB" w:rsidRPr="00CA3670">
        <w:rPr>
          <w:szCs w:val="22"/>
        </w:rPr>
        <w:t xml:space="preserve"> impositivas</w:t>
      </w:r>
      <w:r w:rsidR="00383832" w:rsidRPr="00CA3670">
        <w:rPr>
          <w:szCs w:val="22"/>
        </w:rPr>
        <w:t xml:space="preserve"> autonómicas. Este tipo de medidas </w:t>
      </w:r>
      <w:r w:rsidRPr="00CA3670">
        <w:rPr>
          <w:szCs w:val="22"/>
        </w:rPr>
        <w:t>minan</w:t>
      </w:r>
      <w:r w:rsidR="00383832" w:rsidRPr="00CA3670">
        <w:rPr>
          <w:szCs w:val="22"/>
        </w:rPr>
        <w:t xml:space="preserve"> la competitividad del sistema agroalimentario y de los sectores ligados al </w:t>
      </w:r>
      <w:r w:rsidRPr="00CA3670">
        <w:rPr>
          <w:szCs w:val="22"/>
        </w:rPr>
        <w:t>consumo</w:t>
      </w:r>
      <w:r w:rsidR="00534985">
        <w:rPr>
          <w:szCs w:val="22"/>
        </w:rPr>
        <w:t>,</w:t>
      </w:r>
      <w:r w:rsidR="00EF13C9" w:rsidRPr="00CA3670">
        <w:rPr>
          <w:szCs w:val="22"/>
        </w:rPr>
        <w:t xml:space="preserve"> que</w:t>
      </w:r>
      <w:r w:rsidRPr="00CA3670">
        <w:rPr>
          <w:szCs w:val="22"/>
        </w:rPr>
        <w:t xml:space="preserve"> podría disminuir aú</w:t>
      </w:r>
      <w:r w:rsidR="00383832" w:rsidRPr="00CA3670">
        <w:rPr>
          <w:szCs w:val="22"/>
        </w:rPr>
        <w:t xml:space="preserve">n más con el incremento </w:t>
      </w:r>
      <w:r w:rsidR="00406570">
        <w:rPr>
          <w:szCs w:val="22"/>
        </w:rPr>
        <w:t xml:space="preserve">o reclasificación </w:t>
      </w:r>
      <w:r w:rsidRPr="00CA3670">
        <w:rPr>
          <w:szCs w:val="22"/>
        </w:rPr>
        <w:t>del IVA que parece vislumbrase</w:t>
      </w:r>
      <w:r w:rsidR="00534985">
        <w:rPr>
          <w:szCs w:val="22"/>
        </w:rPr>
        <w:t>,</w:t>
      </w:r>
      <w:r w:rsidRPr="00CA3670">
        <w:rPr>
          <w:szCs w:val="22"/>
        </w:rPr>
        <w:t xml:space="preserve"> y que afectaría a muchos productos básicos para los hogares</w:t>
      </w:r>
      <w:r w:rsidR="00EF13C9" w:rsidRPr="00CA3670">
        <w:rPr>
          <w:szCs w:val="22"/>
        </w:rPr>
        <w:t>.</w:t>
      </w:r>
    </w:p>
    <w:p w:rsidR="00B0088E" w:rsidRPr="00CA3670" w:rsidRDefault="00B0088E" w:rsidP="00CA3670">
      <w:pPr>
        <w:pStyle w:val="Textosinformato"/>
        <w:spacing w:before="240" w:after="240" w:line="276" w:lineRule="auto"/>
        <w:jc w:val="both"/>
        <w:rPr>
          <w:szCs w:val="22"/>
        </w:rPr>
      </w:pPr>
      <w:r w:rsidRPr="00CA3670">
        <w:rPr>
          <w:szCs w:val="22"/>
        </w:rPr>
        <w:t xml:space="preserve">En este sentido, organizaciones </w:t>
      </w:r>
      <w:r w:rsidR="00EF13C9" w:rsidRPr="00CA3670">
        <w:rPr>
          <w:szCs w:val="22"/>
        </w:rPr>
        <w:t xml:space="preserve">empresariales y sindicales </w:t>
      </w:r>
      <w:r w:rsidRPr="00CA3670">
        <w:rPr>
          <w:szCs w:val="22"/>
        </w:rPr>
        <w:t>de la cadena agroalimentaria, comercio, distribuc</w:t>
      </w:r>
      <w:r w:rsidR="00CA3670" w:rsidRPr="00CA3670">
        <w:rPr>
          <w:szCs w:val="22"/>
        </w:rPr>
        <w:t>ión y hostelería (Cooperativas A</w:t>
      </w:r>
      <w:r w:rsidRPr="00CA3670">
        <w:rPr>
          <w:szCs w:val="22"/>
        </w:rPr>
        <w:t>gro</w:t>
      </w:r>
      <w:r w:rsidR="00D27840">
        <w:rPr>
          <w:szCs w:val="22"/>
        </w:rPr>
        <w:t>-</w:t>
      </w:r>
      <w:r w:rsidRPr="00CA3670">
        <w:rPr>
          <w:szCs w:val="22"/>
        </w:rPr>
        <w:t>alimentarias</w:t>
      </w:r>
      <w:r w:rsidR="00D27840">
        <w:rPr>
          <w:szCs w:val="22"/>
        </w:rPr>
        <w:t xml:space="preserve"> de España</w:t>
      </w:r>
      <w:r w:rsidRPr="00CA3670">
        <w:rPr>
          <w:szCs w:val="22"/>
        </w:rPr>
        <w:t>, FIAB; AECOC, ANGED; ACES; ASEDAS;</w:t>
      </w:r>
      <w:r w:rsidR="000E11AB" w:rsidRPr="00CA3670">
        <w:rPr>
          <w:szCs w:val="22"/>
        </w:rPr>
        <w:t xml:space="preserve"> CEC</w:t>
      </w:r>
      <w:r w:rsidR="00CA3670" w:rsidRPr="00CA3670">
        <w:rPr>
          <w:szCs w:val="22"/>
        </w:rPr>
        <w:t>,</w:t>
      </w:r>
      <w:r w:rsidRPr="00CA3670">
        <w:rPr>
          <w:szCs w:val="22"/>
        </w:rPr>
        <w:t xml:space="preserve"> FEHR, </w:t>
      </w:r>
      <w:r w:rsidR="00CA3670">
        <w:rPr>
          <w:szCs w:val="22"/>
        </w:rPr>
        <w:t>FEHRCAREM</w:t>
      </w:r>
      <w:r w:rsidR="00CA3670" w:rsidRPr="00CA3670">
        <w:rPr>
          <w:szCs w:val="22"/>
        </w:rPr>
        <w:t>;</w:t>
      </w:r>
      <w:r w:rsidR="00DC4AF1" w:rsidRPr="00CA3670">
        <w:rPr>
          <w:szCs w:val="22"/>
        </w:rPr>
        <w:t xml:space="preserve"> CCOO FEAGRA</w:t>
      </w:r>
      <w:r w:rsidR="00EF13C9" w:rsidRPr="00CA3670">
        <w:rPr>
          <w:szCs w:val="22"/>
        </w:rPr>
        <w:t>,</w:t>
      </w:r>
      <w:r w:rsidR="00DC4AF1" w:rsidRPr="00CA3670">
        <w:rPr>
          <w:szCs w:val="22"/>
        </w:rPr>
        <w:t xml:space="preserve"> UGT FITAG</w:t>
      </w:r>
      <w:r w:rsidR="00EF13C9" w:rsidRPr="00CA3670">
        <w:rPr>
          <w:szCs w:val="22"/>
        </w:rPr>
        <w:t xml:space="preserve">, </w:t>
      </w:r>
      <w:r w:rsidR="00CA3670" w:rsidRPr="00CA3670">
        <w:rPr>
          <w:szCs w:val="22"/>
        </w:rPr>
        <w:t>U</w:t>
      </w:r>
      <w:r w:rsidR="00534985">
        <w:rPr>
          <w:szCs w:val="22"/>
        </w:rPr>
        <w:t xml:space="preserve">PA, COAG y </w:t>
      </w:r>
      <w:r w:rsidR="00CA3670" w:rsidRPr="00CA3670">
        <w:rPr>
          <w:szCs w:val="22"/>
        </w:rPr>
        <w:t>ASAJA</w:t>
      </w:r>
      <w:r w:rsidRPr="00CA3670">
        <w:rPr>
          <w:szCs w:val="22"/>
        </w:rPr>
        <w:t>) denuncian la oleada de nuevos costes fiscales y regulatorios para su actividad</w:t>
      </w:r>
      <w:r w:rsidR="00534985">
        <w:rPr>
          <w:szCs w:val="22"/>
        </w:rPr>
        <w:t>.</w:t>
      </w:r>
      <w:r w:rsidR="00EF13C9" w:rsidRPr="00CA3670">
        <w:rPr>
          <w:szCs w:val="22"/>
        </w:rPr>
        <w:t xml:space="preserve"> Así</w:t>
      </w:r>
      <w:r w:rsidRPr="00CA3670">
        <w:rPr>
          <w:szCs w:val="22"/>
        </w:rPr>
        <w:t>:</w:t>
      </w:r>
    </w:p>
    <w:p w:rsidR="00383832" w:rsidRPr="00CA3670" w:rsidRDefault="00383832" w:rsidP="00245A9A">
      <w:pPr>
        <w:pStyle w:val="Prrafodelista"/>
        <w:numPr>
          <w:ilvl w:val="0"/>
          <w:numId w:val="7"/>
        </w:numPr>
        <w:spacing w:after="0"/>
        <w:jc w:val="both"/>
      </w:pPr>
      <w:r w:rsidRPr="00CA3670">
        <w:t xml:space="preserve">En </w:t>
      </w:r>
      <w:r w:rsidR="00B0088E" w:rsidRPr="00CA3670">
        <w:rPr>
          <w:b/>
          <w:i/>
        </w:rPr>
        <w:t>materia de</w:t>
      </w:r>
      <w:r w:rsidRPr="00CA3670">
        <w:rPr>
          <w:b/>
          <w:i/>
        </w:rPr>
        <w:t xml:space="preserve"> fiscalidad ambiental, destaca el impacto del impuesto de gases fluorados</w:t>
      </w:r>
      <w:r w:rsidRPr="00CA3670">
        <w:t>, utilizados en los procesos de refri</w:t>
      </w:r>
      <w:r w:rsidR="00534985">
        <w:t>geración y mantenimiento del frí</w:t>
      </w:r>
      <w:r w:rsidRPr="00CA3670">
        <w:t>o de los alimentos básicos, en un país cálido como España en el que no existe una alternativa viable. En el caso de la distribución se sitúa en una horquilla entre los 5.000 euros y los 30.000 euros por local. En el caso de la restauración hablamos de 1.000 euros/año por local.</w:t>
      </w:r>
    </w:p>
    <w:p w:rsidR="00383832" w:rsidRPr="00CA3670" w:rsidRDefault="00383832" w:rsidP="00245A9A">
      <w:pPr>
        <w:pStyle w:val="Textosinformato"/>
        <w:numPr>
          <w:ilvl w:val="0"/>
          <w:numId w:val="7"/>
        </w:numPr>
        <w:spacing w:line="276" w:lineRule="auto"/>
        <w:jc w:val="both"/>
        <w:rPr>
          <w:rFonts w:cs="Calibri"/>
          <w:szCs w:val="22"/>
          <w:shd w:val="clear" w:color="auto" w:fill="FFFFFF"/>
        </w:rPr>
      </w:pPr>
      <w:r w:rsidRPr="00CA3670">
        <w:rPr>
          <w:rFonts w:cs="Calibri"/>
          <w:szCs w:val="22"/>
          <w:shd w:val="clear" w:color="auto" w:fill="FFFFFF"/>
        </w:rPr>
        <w:t xml:space="preserve">En cuanto al </w:t>
      </w:r>
      <w:r w:rsidRPr="00CA3670">
        <w:rPr>
          <w:rFonts w:cs="Calibri"/>
          <w:b/>
          <w:i/>
          <w:szCs w:val="22"/>
          <w:shd w:val="clear" w:color="auto" w:fill="FFFFFF"/>
        </w:rPr>
        <w:t>impacto de la imposición sobre el empleo</w:t>
      </w:r>
      <w:r w:rsidR="00534985">
        <w:rPr>
          <w:rFonts w:cs="Calibri"/>
          <w:b/>
          <w:i/>
          <w:szCs w:val="22"/>
          <w:shd w:val="clear" w:color="auto" w:fill="FFFFFF"/>
        </w:rPr>
        <w:t>,</w:t>
      </w:r>
      <w:r w:rsidRPr="00CA3670">
        <w:rPr>
          <w:rFonts w:cs="Calibri"/>
          <w:i/>
          <w:szCs w:val="22"/>
          <w:shd w:val="clear" w:color="auto" w:fill="FFFFFF"/>
        </w:rPr>
        <w:t xml:space="preserve"> </w:t>
      </w:r>
      <w:r w:rsidRPr="00CA3670">
        <w:rPr>
          <w:rFonts w:cs="Calibri"/>
          <w:szCs w:val="22"/>
          <w:shd w:val="clear" w:color="auto" w:fill="FFFFFF"/>
        </w:rPr>
        <w:t>derivado del RD 16/2013 de medidas para favorecer la contratación estable y mejorar la empleabilidad de los trabajadores</w:t>
      </w:r>
      <w:r w:rsidR="00534985">
        <w:rPr>
          <w:rFonts w:cs="Calibri"/>
          <w:szCs w:val="22"/>
          <w:shd w:val="clear" w:color="auto" w:fill="FFFFFF"/>
        </w:rPr>
        <w:t>,</w:t>
      </w:r>
      <w:r w:rsidRPr="00CA3670">
        <w:rPr>
          <w:rFonts w:cs="Calibri"/>
          <w:szCs w:val="22"/>
          <w:shd w:val="clear" w:color="auto" w:fill="FFFFFF"/>
        </w:rPr>
        <w:t xml:space="preserve"> en su disposición adicional tercera incrementa los costes</w:t>
      </w:r>
      <w:r w:rsidR="00245A9A">
        <w:rPr>
          <w:rFonts w:cs="Calibri"/>
          <w:szCs w:val="22"/>
          <w:shd w:val="clear" w:color="auto" w:fill="FFFFFF"/>
        </w:rPr>
        <w:t xml:space="preserve"> </w:t>
      </w:r>
      <w:r w:rsidRPr="00CA3670">
        <w:rPr>
          <w:rFonts w:cs="Calibri"/>
          <w:szCs w:val="22"/>
          <w:shd w:val="clear" w:color="auto" w:fill="FFFFFF"/>
        </w:rPr>
        <w:t xml:space="preserve">de las cotizaciones en conceptos que anteriormente estaban exentos. Sólo en el sector de la restauración en la Comunidad Autónoma de Madrid se han incrementado un 9% los costes laborales y supone 800 euros/año por trabajador para el conjunto de los sectores. En Hostelería, además del incremento de los costes salariales, significa la desaparición parcial o total de una de sus fuentes de ingresos: los vales de comida. El incremento de costes supone la desaparición del 40 por ciento del mercado de vales, y </w:t>
      </w:r>
      <w:r w:rsidRPr="00CA3670">
        <w:rPr>
          <w:rFonts w:cs="Calibri"/>
          <w:szCs w:val="22"/>
          <w:shd w:val="clear" w:color="auto" w:fill="FFFFFF"/>
        </w:rPr>
        <w:lastRenderedPageBreak/>
        <w:t>una pérdida de facturación en torno al 2,5%, con una consecuencia sobre el empleo de 12.000 puesto</w:t>
      </w:r>
      <w:r w:rsidR="00EF13C9" w:rsidRPr="00CA3670">
        <w:rPr>
          <w:rFonts w:cs="Calibri"/>
          <w:szCs w:val="22"/>
          <w:shd w:val="clear" w:color="auto" w:fill="FFFFFF"/>
        </w:rPr>
        <w:t>s</w:t>
      </w:r>
      <w:r w:rsidR="00245A9A">
        <w:rPr>
          <w:rFonts w:cs="Calibri"/>
          <w:szCs w:val="22"/>
          <w:shd w:val="clear" w:color="auto" w:fill="FFFFFF"/>
        </w:rPr>
        <w:t xml:space="preserve"> de trabajo.</w:t>
      </w:r>
    </w:p>
    <w:p w:rsidR="00383832" w:rsidRPr="00CA3670" w:rsidRDefault="00B0088E" w:rsidP="00245A9A">
      <w:pPr>
        <w:pStyle w:val="Textosinformato"/>
        <w:numPr>
          <w:ilvl w:val="0"/>
          <w:numId w:val="7"/>
        </w:numPr>
        <w:spacing w:line="276" w:lineRule="auto"/>
        <w:jc w:val="both"/>
        <w:rPr>
          <w:strike/>
          <w:szCs w:val="22"/>
        </w:rPr>
      </w:pPr>
      <w:r w:rsidRPr="00CA3670">
        <w:rPr>
          <w:szCs w:val="22"/>
        </w:rPr>
        <w:t>L</w:t>
      </w:r>
      <w:r w:rsidR="00383832" w:rsidRPr="00CA3670">
        <w:rPr>
          <w:b/>
          <w:szCs w:val="22"/>
        </w:rPr>
        <w:t>a distorsionadora carga impositiva autonómica</w:t>
      </w:r>
      <w:r w:rsidRPr="00CA3670">
        <w:rPr>
          <w:szCs w:val="22"/>
        </w:rPr>
        <w:t>,</w:t>
      </w:r>
      <w:r w:rsidR="00383832" w:rsidRPr="00CA3670">
        <w:rPr>
          <w:szCs w:val="22"/>
        </w:rPr>
        <w:t xml:space="preserve"> </w:t>
      </w:r>
      <w:r w:rsidR="00943A65" w:rsidRPr="00CA3670">
        <w:rPr>
          <w:rFonts w:cs="Calibri"/>
          <w:szCs w:val="22"/>
          <w:shd w:val="clear" w:color="auto" w:fill="FFFFFF"/>
        </w:rPr>
        <w:t xml:space="preserve">que suman ya más de 70 tributos, genera altos costes económicos y de gestión </w:t>
      </w:r>
      <w:r w:rsidR="00EF13C9" w:rsidRPr="00CA3670">
        <w:rPr>
          <w:rFonts w:cs="Calibri"/>
          <w:szCs w:val="22"/>
          <w:shd w:val="clear" w:color="auto" w:fill="FFFFFF"/>
        </w:rPr>
        <w:t>que se estiman en</w:t>
      </w:r>
      <w:r w:rsidR="00943A65" w:rsidRPr="00CA3670">
        <w:rPr>
          <w:rFonts w:cs="Calibri"/>
          <w:szCs w:val="22"/>
          <w:shd w:val="clear" w:color="auto" w:fill="FFFFFF"/>
        </w:rPr>
        <w:t xml:space="preserve"> </w:t>
      </w:r>
      <w:r w:rsidR="00383832" w:rsidRPr="00CA3670">
        <w:rPr>
          <w:rFonts w:cs="Calibri"/>
          <w:szCs w:val="22"/>
          <w:shd w:val="clear" w:color="auto" w:fill="FFFFFF"/>
        </w:rPr>
        <w:t xml:space="preserve">1.300 millones de euros. </w:t>
      </w:r>
      <w:r w:rsidR="00383832" w:rsidRPr="00CA3670">
        <w:rPr>
          <w:szCs w:val="22"/>
        </w:rPr>
        <w:t>Si bien su importancia en términos de recaudación es mínima e insuficiente para corregir el problema del déficit (sólo representan el 1,6% de los ingresos de las CCAA), su impacto sobre la inversión y el empleo es muy dañino</w:t>
      </w:r>
      <w:r w:rsidR="00534985" w:rsidRPr="00534985">
        <w:rPr>
          <w:szCs w:val="22"/>
        </w:rPr>
        <w:t>.</w:t>
      </w:r>
    </w:p>
    <w:p w:rsidR="00383832" w:rsidRPr="00CA3670" w:rsidRDefault="00383832" w:rsidP="00245A9A">
      <w:pPr>
        <w:pStyle w:val="Prrafodelista"/>
        <w:numPr>
          <w:ilvl w:val="0"/>
          <w:numId w:val="7"/>
        </w:numPr>
        <w:spacing w:after="0"/>
        <w:jc w:val="both"/>
      </w:pPr>
      <w:r w:rsidRPr="00CA3670">
        <w:t>Junto a estas medidas</w:t>
      </w:r>
      <w:r w:rsidR="00534985">
        <w:t>,</w:t>
      </w:r>
      <w:r w:rsidRPr="00CA3670">
        <w:t xml:space="preserve"> </w:t>
      </w:r>
      <w:r w:rsidRPr="00CA3670">
        <w:rPr>
          <w:b/>
        </w:rPr>
        <w:t>destaca el incremento de los peajes de acceso de las tarifas eléctricas marcados</w:t>
      </w:r>
      <w:r w:rsidRPr="00CA3670">
        <w:t xml:space="preserve"> por la orden IET/1491/2013 en un promedio de 125%. Por lo que se refiere al regadío, la factura de la luz se ha encarecido en una media superior al 80%, con un incremento de los costes fijos –regulados- de más de un 1.000%</w:t>
      </w:r>
      <w:r w:rsidR="00245A9A" w:rsidRPr="00CA3670">
        <w:t>.</w:t>
      </w:r>
      <w:r w:rsidRPr="00CA3670">
        <w:t xml:space="preserve"> A esto hay que añadir la </w:t>
      </w:r>
      <w:r w:rsidRPr="00CA3670">
        <w:rPr>
          <w:rFonts w:eastAsia="Times New Roman"/>
        </w:rPr>
        <w:t xml:space="preserve">propuesta gubernamental sobre la </w:t>
      </w:r>
      <w:r w:rsidR="00CA3670" w:rsidRPr="00CA3670">
        <w:rPr>
          <w:rFonts w:eastAsia="Times New Roman"/>
          <w:b/>
        </w:rPr>
        <w:t>cogeneración</w:t>
      </w:r>
      <w:r w:rsidRPr="00CA3670">
        <w:rPr>
          <w:rFonts w:eastAsia="Times New Roman"/>
        </w:rPr>
        <w:t xml:space="preserve">, que no solo paraliza este tipo de </w:t>
      </w:r>
      <w:r w:rsidR="00CA3670" w:rsidRPr="00CA3670">
        <w:rPr>
          <w:rFonts w:eastAsia="Times New Roman"/>
        </w:rPr>
        <w:t>producción</w:t>
      </w:r>
      <w:r w:rsidRPr="00CA3670">
        <w:rPr>
          <w:rFonts w:eastAsia="Times New Roman"/>
        </w:rPr>
        <w:t xml:space="preserve"> </w:t>
      </w:r>
      <w:r w:rsidR="00CA3670" w:rsidRPr="00CA3670">
        <w:rPr>
          <w:rFonts w:eastAsia="Times New Roman"/>
        </w:rPr>
        <w:t>energética</w:t>
      </w:r>
      <w:r w:rsidR="00534985">
        <w:rPr>
          <w:rFonts w:eastAsia="Times New Roman"/>
        </w:rPr>
        <w:t>,</w:t>
      </w:r>
      <w:r w:rsidRPr="00CA3670">
        <w:rPr>
          <w:rFonts w:eastAsia="Times New Roman"/>
        </w:rPr>
        <w:t xml:space="preserve"> sino que causa un gra</w:t>
      </w:r>
      <w:r w:rsidR="00534985">
        <w:rPr>
          <w:rFonts w:eastAsia="Times New Roman"/>
        </w:rPr>
        <w:t>ve quebranto a las inversiones realizadas en los últimos años</w:t>
      </w:r>
      <w:r w:rsidRPr="00CA3670">
        <w:rPr>
          <w:rFonts w:eastAsia="Times New Roman"/>
        </w:rPr>
        <w:t>.</w:t>
      </w:r>
    </w:p>
    <w:p w:rsidR="00FF19F9" w:rsidRPr="00CA3670" w:rsidRDefault="00383832" w:rsidP="00CA3670">
      <w:pPr>
        <w:pStyle w:val="Textosinformato"/>
        <w:spacing w:before="240" w:after="240" w:line="276" w:lineRule="auto"/>
        <w:jc w:val="both"/>
        <w:rPr>
          <w:rFonts w:cs="Calibri"/>
          <w:strike/>
          <w:szCs w:val="22"/>
        </w:rPr>
      </w:pPr>
      <w:r w:rsidRPr="00CA3670">
        <w:rPr>
          <w:rFonts w:cs="Calibri"/>
          <w:szCs w:val="22"/>
        </w:rPr>
        <w:t xml:space="preserve">Todas estas medidas están haciendo </w:t>
      </w:r>
      <w:r w:rsidRPr="00CA3670">
        <w:rPr>
          <w:rFonts w:cs="Calibri"/>
          <w:b/>
          <w:i/>
          <w:szCs w:val="22"/>
        </w:rPr>
        <w:t xml:space="preserve">que la competitividad de las empresas españolas se </w:t>
      </w:r>
      <w:r w:rsidR="005B4123" w:rsidRPr="00CA3670">
        <w:rPr>
          <w:rFonts w:cs="Calibri"/>
          <w:b/>
          <w:i/>
          <w:szCs w:val="22"/>
        </w:rPr>
        <w:t>reduzca</w:t>
      </w:r>
      <w:r w:rsidRPr="00CA3670">
        <w:rPr>
          <w:rFonts w:cs="Calibri"/>
          <w:b/>
          <w:i/>
          <w:szCs w:val="22"/>
        </w:rPr>
        <w:t xml:space="preserve"> poniendo en peligro</w:t>
      </w:r>
      <w:r w:rsidR="00B0088E" w:rsidRPr="00CA3670">
        <w:rPr>
          <w:rFonts w:cs="Calibri"/>
          <w:szCs w:val="22"/>
        </w:rPr>
        <w:t xml:space="preserve"> </w:t>
      </w:r>
      <w:r w:rsidR="00EF13C9" w:rsidRPr="00CA3670">
        <w:rPr>
          <w:rFonts w:cs="Calibri"/>
          <w:b/>
          <w:szCs w:val="22"/>
        </w:rPr>
        <w:t>la senda de la recuperación.</w:t>
      </w:r>
      <w:r w:rsidR="00EF13C9" w:rsidRPr="00CA3670">
        <w:rPr>
          <w:rFonts w:cs="Calibri"/>
          <w:szCs w:val="22"/>
        </w:rPr>
        <w:t xml:space="preserve"> </w:t>
      </w:r>
    </w:p>
    <w:p w:rsidR="00383832" w:rsidRPr="00CA3670" w:rsidRDefault="00383832" w:rsidP="00CA3670">
      <w:pPr>
        <w:pStyle w:val="Textosinformato"/>
        <w:spacing w:before="240" w:after="240" w:line="276" w:lineRule="auto"/>
        <w:jc w:val="both"/>
        <w:rPr>
          <w:rFonts w:cs="Calibri"/>
          <w:szCs w:val="22"/>
        </w:rPr>
      </w:pPr>
      <w:r w:rsidRPr="00CA3670">
        <w:rPr>
          <w:rFonts w:cs="Calibri"/>
          <w:b/>
          <w:szCs w:val="22"/>
        </w:rPr>
        <w:t>Respecto a la reforma fiscal</w:t>
      </w:r>
      <w:r w:rsidR="00B0088E" w:rsidRPr="00CA3670">
        <w:rPr>
          <w:rFonts w:cs="Calibri"/>
          <w:szCs w:val="22"/>
        </w:rPr>
        <w:t xml:space="preserve">, desde </w:t>
      </w:r>
      <w:r w:rsidRPr="00CA3670">
        <w:rPr>
          <w:rFonts w:cs="Calibri"/>
          <w:szCs w:val="22"/>
        </w:rPr>
        <w:t>estas organizaciones ya</w:t>
      </w:r>
      <w:r w:rsidR="00245A9A">
        <w:rPr>
          <w:rFonts w:cs="Calibri"/>
          <w:szCs w:val="22"/>
        </w:rPr>
        <w:t xml:space="preserve"> </w:t>
      </w:r>
      <w:r w:rsidRPr="00CA3670">
        <w:rPr>
          <w:rFonts w:cs="Calibri"/>
          <w:szCs w:val="22"/>
        </w:rPr>
        <w:t>hemos advertido al Ejecutivo que una re</w:t>
      </w:r>
      <w:r w:rsidR="00B0088E" w:rsidRPr="00CA3670">
        <w:rPr>
          <w:rFonts w:cs="Calibri"/>
          <w:szCs w:val="22"/>
        </w:rPr>
        <w:t xml:space="preserve">forma que se articule en base a incrementos impositivos </w:t>
      </w:r>
      <w:r w:rsidRPr="00CA3670">
        <w:rPr>
          <w:rFonts w:cs="Calibri"/>
          <w:szCs w:val="22"/>
        </w:rPr>
        <w:t xml:space="preserve">que graven el consumo tendría un efecto devastador para los sectores. Además un nuevo incremento fiscal en estos bienes tendría un impacto muy negativo no sólo </w:t>
      </w:r>
      <w:r w:rsidR="00B0088E" w:rsidRPr="00CA3670">
        <w:rPr>
          <w:rFonts w:cs="Calibri"/>
          <w:szCs w:val="22"/>
        </w:rPr>
        <w:t xml:space="preserve">en los sectores representados, </w:t>
      </w:r>
      <w:r w:rsidRPr="00CA3670">
        <w:rPr>
          <w:rFonts w:cs="Calibri"/>
          <w:szCs w:val="22"/>
        </w:rPr>
        <w:t>sino en la recuperación económica general, ya que un parón en el consumo podría arrastrar en cadena al resto de variables macroeconómicas.</w:t>
      </w:r>
    </w:p>
    <w:p w:rsidR="00383832" w:rsidRPr="00CA3670" w:rsidRDefault="00383832" w:rsidP="00CA3670">
      <w:pPr>
        <w:pStyle w:val="Textosinformato"/>
        <w:spacing w:before="240" w:after="240" w:line="276" w:lineRule="auto"/>
        <w:jc w:val="both"/>
        <w:rPr>
          <w:b/>
          <w:i/>
          <w:szCs w:val="22"/>
        </w:rPr>
      </w:pPr>
      <w:r w:rsidRPr="00CA3670">
        <w:rPr>
          <w:szCs w:val="22"/>
        </w:rPr>
        <w:t>En este sentido, el estudio que las organizaciones representantes de estos sectores encargamos al Centro de Estudios Económicos Tomillo (CEET), cuantifica el impacto que tendría un reposicionamiento de los tipos de IVA pasando los productos del</w:t>
      </w:r>
      <w:r w:rsidR="00245A9A">
        <w:rPr>
          <w:szCs w:val="22"/>
        </w:rPr>
        <w:t xml:space="preserve"> </w:t>
      </w:r>
      <w:r w:rsidR="00EF13C9" w:rsidRPr="00CA3670">
        <w:rPr>
          <w:szCs w:val="22"/>
        </w:rPr>
        <w:t xml:space="preserve">tipo </w:t>
      </w:r>
      <w:r w:rsidRPr="00CA3670">
        <w:rPr>
          <w:szCs w:val="22"/>
        </w:rPr>
        <w:t xml:space="preserve">reducido (10%), al tipo general (21%), de la siguiente manera: </w:t>
      </w:r>
      <w:r w:rsidRPr="00CA3670">
        <w:rPr>
          <w:b/>
          <w:i/>
          <w:szCs w:val="22"/>
        </w:rPr>
        <w:t>una caída de la producción de 16.</w:t>
      </w:r>
      <w:r w:rsidR="00EF13C9" w:rsidRPr="00CA3670">
        <w:rPr>
          <w:b/>
          <w:i/>
          <w:szCs w:val="22"/>
        </w:rPr>
        <w:t>032</w:t>
      </w:r>
      <w:r w:rsidRPr="00CA3670">
        <w:rPr>
          <w:b/>
          <w:i/>
          <w:szCs w:val="22"/>
        </w:rPr>
        <w:t xml:space="preserve"> millones de euros; una destrucción de </w:t>
      </w:r>
      <w:r w:rsidR="00EF13C9" w:rsidRPr="00CA3670">
        <w:rPr>
          <w:b/>
          <w:i/>
          <w:szCs w:val="22"/>
        </w:rPr>
        <w:t>155</w:t>
      </w:r>
      <w:r w:rsidRPr="00CA3670">
        <w:rPr>
          <w:b/>
          <w:i/>
          <w:szCs w:val="22"/>
        </w:rPr>
        <w:t>.</w:t>
      </w:r>
      <w:r w:rsidR="00EF13C9" w:rsidRPr="00CA3670">
        <w:rPr>
          <w:b/>
          <w:i/>
          <w:szCs w:val="22"/>
        </w:rPr>
        <w:t>295</w:t>
      </w:r>
      <w:r w:rsidRPr="00CA3670">
        <w:rPr>
          <w:b/>
          <w:i/>
          <w:szCs w:val="22"/>
        </w:rPr>
        <w:t xml:space="preserve"> puestos de trabajo; una disminución de ingresos públicos de -2.</w:t>
      </w:r>
      <w:r w:rsidR="00EF13C9" w:rsidRPr="00CA3670">
        <w:rPr>
          <w:b/>
          <w:i/>
          <w:szCs w:val="22"/>
        </w:rPr>
        <w:t>183 millones de euros,</w:t>
      </w:r>
      <w:r w:rsidRPr="00CA3670">
        <w:rPr>
          <w:b/>
          <w:i/>
          <w:szCs w:val="22"/>
        </w:rPr>
        <w:t xml:space="preserve"> y un aumento </w:t>
      </w:r>
      <w:r w:rsidR="00EF13C9" w:rsidRPr="00CA3670">
        <w:rPr>
          <w:b/>
          <w:i/>
          <w:szCs w:val="22"/>
        </w:rPr>
        <w:t>d</w:t>
      </w:r>
      <w:r w:rsidRPr="00CA3670">
        <w:rPr>
          <w:b/>
          <w:i/>
          <w:szCs w:val="22"/>
        </w:rPr>
        <w:t xml:space="preserve">e las prestaciones por desempleo de </w:t>
      </w:r>
      <w:r w:rsidR="00EF13C9" w:rsidRPr="00CA3670">
        <w:rPr>
          <w:b/>
          <w:i/>
          <w:szCs w:val="22"/>
        </w:rPr>
        <w:t>556</w:t>
      </w:r>
      <w:r w:rsidRPr="00CA3670">
        <w:rPr>
          <w:b/>
          <w:i/>
          <w:szCs w:val="22"/>
        </w:rPr>
        <w:t xml:space="preserve"> millones de euros. </w:t>
      </w:r>
    </w:p>
    <w:p w:rsidR="00383832" w:rsidRPr="00CA3670" w:rsidRDefault="00383832" w:rsidP="00CA3670">
      <w:pPr>
        <w:pStyle w:val="Default"/>
        <w:spacing w:before="240" w:after="240" w:line="276" w:lineRule="auto"/>
        <w:jc w:val="both"/>
        <w:rPr>
          <w:rFonts w:ascii="Calibri" w:hAnsi="Calibri"/>
          <w:b/>
          <w:color w:val="auto"/>
          <w:sz w:val="22"/>
          <w:szCs w:val="22"/>
        </w:rPr>
      </w:pPr>
      <w:r w:rsidRPr="00CA3670">
        <w:rPr>
          <w:rFonts w:ascii="Calibri" w:hAnsi="Calibri"/>
          <w:color w:val="auto"/>
          <w:sz w:val="22"/>
          <w:szCs w:val="22"/>
        </w:rPr>
        <w:t>Por otro lado</w:t>
      </w:r>
      <w:r w:rsidR="00534985">
        <w:rPr>
          <w:rFonts w:ascii="Calibri" w:hAnsi="Calibri"/>
          <w:color w:val="auto"/>
          <w:sz w:val="22"/>
          <w:szCs w:val="22"/>
        </w:rPr>
        <w:t>,</w:t>
      </w:r>
      <w:r w:rsidRPr="00CA3670">
        <w:rPr>
          <w:rFonts w:ascii="Calibri" w:hAnsi="Calibri"/>
          <w:color w:val="auto"/>
          <w:sz w:val="22"/>
          <w:szCs w:val="22"/>
        </w:rPr>
        <w:t xml:space="preserve"> tenemos los antecedentes de las subidas del IVA en 2010 y 2012, que a través de la serie histórica del Índice de Comercio Minorista (ICM), ofrecida por el INE, nos muestra que desde septiembre del 2012 –fecha de la última subida– la caída media del consumo en tasa interanual en los seis meses siguientes fue de un -6,7%.</w:t>
      </w:r>
      <w:r w:rsidR="00245A9A">
        <w:rPr>
          <w:rFonts w:ascii="Calibri" w:hAnsi="Calibri"/>
          <w:color w:val="auto"/>
          <w:sz w:val="22"/>
          <w:szCs w:val="22"/>
        </w:rPr>
        <w:t xml:space="preserve"> </w:t>
      </w:r>
      <w:r w:rsidRPr="00CA3670">
        <w:rPr>
          <w:rFonts w:ascii="Calibri" w:hAnsi="Calibri"/>
          <w:color w:val="auto"/>
          <w:sz w:val="22"/>
          <w:szCs w:val="22"/>
        </w:rPr>
        <w:t>Esto</w:t>
      </w:r>
      <w:r w:rsidR="00245A9A">
        <w:rPr>
          <w:rFonts w:ascii="Calibri" w:hAnsi="Calibri"/>
          <w:color w:val="auto"/>
          <w:sz w:val="22"/>
          <w:szCs w:val="22"/>
        </w:rPr>
        <w:t xml:space="preserve"> </w:t>
      </w:r>
      <w:r w:rsidRPr="00CA3670">
        <w:rPr>
          <w:rFonts w:ascii="Calibri" w:hAnsi="Calibri"/>
          <w:b/>
          <w:i/>
          <w:color w:val="auto"/>
          <w:sz w:val="22"/>
          <w:szCs w:val="22"/>
        </w:rPr>
        <w:t xml:space="preserve">supone un torpedo en la línea </w:t>
      </w:r>
      <w:r w:rsidRPr="00CA3670">
        <w:rPr>
          <w:rFonts w:ascii="Calibri" w:hAnsi="Calibri"/>
          <w:b/>
          <w:color w:val="auto"/>
          <w:sz w:val="22"/>
          <w:szCs w:val="22"/>
        </w:rPr>
        <w:t xml:space="preserve">de flotación de la economía española, </w:t>
      </w:r>
      <w:r w:rsidR="00FF19F9" w:rsidRPr="00CA3670">
        <w:rPr>
          <w:rFonts w:ascii="Calibri" w:hAnsi="Calibri"/>
          <w:b/>
          <w:color w:val="auto"/>
          <w:sz w:val="22"/>
          <w:szCs w:val="22"/>
        </w:rPr>
        <w:t xml:space="preserve">y </w:t>
      </w:r>
      <w:r w:rsidRPr="00CA3670">
        <w:rPr>
          <w:rFonts w:ascii="Calibri" w:hAnsi="Calibri"/>
          <w:b/>
          <w:color w:val="auto"/>
          <w:sz w:val="22"/>
          <w:szCs w:val="22"/>
        </w:rPr>
        <w:t>pone en peligro la recuperación económica y el empleo.</w:t>
      </w:r>
    </w:p>
    <w:p w:rsidR="00383832" w:rsidRPr="00CA3670" w:rsidRDefault="00383832" w:rsidP="00CA3670">
      <w:pPr>
        <w:pStyle w:val="Textosinformato"/>
        <w:spacing w:before="240" w:after="240" w:line="276" w:lineRule="auto"/>
        <w:jc w:val="both"/>
        <w:rPr>
          <w:rFonts w:cs="Calibri"/>
          <w:szCs w:val="22"/>
        </w:rPr>
      </w:pPr>
      <w:r w:rsidRPr="00CA3670">
        <w:rPr>
          <w:rFonts w:cs="Calibri"/>
          <w:szCs w:val="22"/>
        </w:rPr>
        <w:t xml:space="preserve">Las organizaciones </w:t>
      </w:r>
      <w:r w:rsidR="00EF13C9" w:rsidRPr="00CA3670">
        <w:rPr>
          <w:rFonts w:cs="Calibri"/>
          <w:szCs w:val="22"/>
        </w:rPr>
        <w:t xml:space="preserve">empresariales y sindicales </w:t>
      </w:r>
      <w:r w:rsidRPr="00CA3670">
        <w:rPr>
          <w:rFonts w:cs="Calibri"/>
          <w:szCs w:val="22"/>
        </w:rPr>
        <w:t>que compartimos este diagnóstico representamos a sectores estratégicos para la economía española: producción e indust</w:t>
      </w:r>
      <w:r w:rsidR="00406570">
        <w:rPr>
          <w:rFonts w:cs="Calibri"/>
          <w:szCs w:val="22"/>
        </w:rPr>
        <w:t>ria agroalimentaria, comercio, distribución</w:t>
      </w:r>
      <w:r w:rsidRPr="00CA3670">
        <w:rPr>
          <w:rFonts w:cs="Calibri"/>
          <w:szCs w:val="22"/>
        </w:rPr>
        <w:t xml:space="preserve"> y hostelería</w:t>
      </w:r>
      <w:r w:rsidR="00406570">
        <w:rPr>
          <w:rFonts w:cs="Calibri"/>
          <w:szCs w:val="22"/>
        </w:rPr>
        <w:t>,</w:t>
      </w:r>
      <w:r w:rsidRPr="00CA3670">
        <w:rPr>
          <w:rFonts w:cs="Calibri"/>
          <w:szCs w:val="22"/>
        </w:rPr>
        <w:t xml:space="preserve"> cuya facturación global asciende a 370.000 millones de euros, representando más del 20% del PIB nacional</w:t>
      </w:r>
      <w:r w:rsidR="0059207D">
        <w:rPr>
          <w:rFonts w:cs="Calibri"/>
          <w:szCs w:val="22"/>
        </w:rPr>
        <w:t xml:space="preserve"> y más de 5.00</w:t>
      </w:r>
      <w:r w:rsidR="00DC4AF1" w:rsidRPr="00CA3670">
        <w:rPr>
          <w:rFonts w:cs="Calibri"/>
          <w:szCs w:val="22"/>
        </w:rPr>
        <w:t xml:space="preserve">0.000 </w:t>
      </w:r>
      <w:r w:rsidR="0059207D">
        <w:rPr>
          <w:rFonts w:cs="Calibri"/>
          <w:szCs w:val="22"/>
        </w:rPr>
        <w:t xml:space="preserve">de </w:t>
      </w:r>
      <w:r w:rsidR="00DC4AF1" w:rsidRPr="00CA3670">
        <w:rPr>
          <w:rFonts w:cs="Calibri"/>
          <w:szCs w:val="22"/>
        </w:rPr>
        <w:t>empleados</w:t>
      </w:r>
      <w:r w:rsidRPr="00CA3670">
        <w:rPr>
          <w:rFonts w:cs="Calibri"/>
          <w:szCs w:val="22"/>
        </w:rPr>
        <w:t xml:space="preserve">. </w:t>
      </w:r>
    </w:p>
    <w:sectPr w:rsidR="00383832" w:rsidRPr="00CA3670" w:rsidSect="00E0615E">
      <w:headerReference w:type="default" r:id="rId8"/>
      <w:footerReference w:type="default" r:id="rId9"/>
      <w:pgSz w:w="11906" w:h="16838"/>
      <w:pgMar w:top="1806" w:right="1701" w:bottom="1417" w:left="1701" w:header="56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4985" w:rsidRDefault="00534985" w:rsidP="00C52D14">
      <w:pPr>
        <w:spacing w:after="0" w:line="240" w:lineRule="auto"/>
      </w:pPr>
      <w:r>
        <w:separator/>
      </w:r>
    </w:p>
  </w:endnote>
  <w:endnote w:type="continuationSeparator" w:id="0">
    <w:p w:rsidR="00534985" w:rsidRDefault="00534985" w:rsidP="00C52D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985" w:rsidRDefault="00B429D5">
    <w:pPr>
      <w:pStyle w:val="Piedepgina"/>
      <w:jc w:val="right"/>
    </w:pPr>
    <w:r>
      <w:fldChar w:fldCharType="begin"/>
    </w:r>
    <w:r w:rsidR="00534985">
      <w:instrText>PAGE   \* MERGEFORMAT</w:instrText>
    </w:r>
    <w:r>
      <w:fldChar w:fldCharType="separate"/>
    </w:r>
    <w:r w:rsidR="00D27840">
      <w:rPr>
        <w:noProof/>
      </w:rPr>
      <w:t>1</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4985" w:rsidRDefault="00534985" w:rsidP="00C52D14">
      <w:pPr>
        <w:spacing w:after="0" w:line="240" w:lineRule="auto"/>
      </w:pPr>
      <w:r>
        <w:separator/>
      </w:r>
    </w:p>
  </w:footnote>
  <w:footnote w:type="continuationSeparator" w:id="0">
    <w:p w:rsidR="00534985" w:rsidRDefault="00534985" w:rsidP="00C52D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985" w:rsidRDefault="00534985" w:rsidP="00CA3670">
    <w:pPr>
      <w:pStyle w:val="Encabezado"/>
      <w:jc w:val="center"/>
    </w:pPr>
    <w:r>
      <w:rPr>
        <w:noProof/>
        <w:lang w:eastAsia="es-ES"/>
      </w:rPr>
      <w:drawing>
        <wp:anchor distT="0" distB="0" distL="114300" distR="114300" simplePos="0" relativeHeight="251658240" behindDoc="0" locked="0" layoutInCell="1" allowOverlap="1">
          <wp:simplePos x="0" y="0"/>
          <wp:positionH relativeFrom="column">
            <wp:posOffset>-581025</wp:posOffset>
          </wp:positionH>
          <wp:positionV relativeFrom="paragraph">
            <wp:posOffset>-204470</wp:posOffset>
          </wp:positionV>
          <wp:extent cx="1099820" cy="391160"/>
          <wp:effectExtent l="0" t="0" r="5080" b="8890"/>
          <wp:wrapSquare wrapText="bothSides"/>
          <wp:docPr id="13" name="Imagen 13" descr="http://www.agaca.coop/docs/ESPA%C3%91A%20-%20Logo%20Cooperativas%20Agro-alimenta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gaca.coop/docs/ESPA%C3%91A%20-%20Logo%20Cooperativas%20Agro-alimentarias.jpg"/>
                  <pic:cNvPicPr>
                    <a:picLocks noChangeAspect="1" noChangeArrowheads="1"/>
                  </pic:cNvPicPr>
                </pic:nvPicPr>
                <pic:blipFill>
                  <a:blip r:embed="rId1" r:link="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9820" cy="391160"/>
                  </a:xfrm>
                  <a:prstGeom prst="rect">
                    <a:avLst/>
                  </a:prstGeom>
                  <a:noFill/>
                  <a:ln>
                    <a:noFill/>
                  </a:ln>
                </pic:spPr>
              </pic:pic>
            </a:graphicData>
          </a:graphic>
        </wp:anchor>
      </w:drawing>
    </w:r>
    <w:r>
      <w:rPr>
        <w:noProof/>
        <w:lang w:eastAsia="es-ES"/>
      </w:rPr>
      <w:drawing>
        <wp:anchor distT="0" distB="0" distL="114300" distR="114300" simplePos="0" relativeHeight="251659264" behindDoc="0" locked="0" layoutInCell="1" allowOverlap="1">
          <wp:simplePos x="0" y="0"/>
          <wp:positionH relativeFrom="column">
            <wp:posOffset>683895</wp:posOffset>
          </wp:positionH>
          <wp:positionV relativeFrom="paragraph">
            <wp:posOffset>-89535</wp:posOffset>
          </wp:positionV>
          <wp:extent cx="1676400" cy="178435"/>
          <wp:effectExtent l="0" t="0" r="0" b="0"/>
          <wp:wrapSquare wrapText="bothSides"/>
          <wp:docPr id="14" name="Imagen 14" descr="http://fiab.es/ferias/images/logo_fi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ab.es/ferias/images/logo_fiab.png"/>
                  <pic:cNvPicPr>
                    <a:picLocks noChangeAspect="1" noChangeArrowheads="1"/>
                  </pic:cNvPicPr>
                </pic:nvPicPr>
                <pic:blipFill>
                  <a:blip r:embed="rId3" r:link="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78435"/>
                  </a:xfrm>
                  <a:prstGeom prst="rect">
                    <a:avLst/>
                  </a:prstGeom>
                  <a:noFill/>
                  <a:ln>
                    <a:noFill/>
                  </a:ln>
                </pic:spPr>
              </pic:pic>
            </a:graphicData>
          </a:graphic>
        </wp:anchor>
      </w:drawing>
    </w:r>
    <w:r>
      <w:rPr>
        <w:noProof/>
        <w:lang w:eastAsia="es-ES"/>
      </w:rPr>
      <w:drawing>
        <wp:anchor distT="0" distB="0" distL="114300" distR="114300" simplePos="0" relativeHeight="251660288" behindDoc="0" locked="0" layoutInCell="1" allowOverlap="1">
          <wp:simplePos x="0" y="0"/>
          <wp:positionH relativeFrom="column">
            <wp:posOffset>2565400</wp:posOffset>
          </wp:positionH>
          <wp:positionV relativeFrom="paragraph">
            <wp:posOffset>-89535</wp:posOffset>
          </wp:positionV>
          <wp:extent cx="981075" cy="193040"/>
          <wp:effectExtent l="0" t="0" r="9525" b="0"/>
          <wp:wrapSquare wrapText="bothSides"/>
          <wp:docPr id="15" name="Imagen 15" descr="http://marketinghuman.files.wordpress.com/2011/06/aeco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rketinghuman.files.wordpress.com/2011/06/aecoc_logo.jpg"/>
                  <pic:cNvPicPr>
                    <a:picLocks noChangeAspect="1" noChangeArrowheads="1"/>
                  </pic:cNvPicPr>
                </pic:nvPicPr>
                <pic:blipFill>
                  <a:blip r:embed="rId5" r:link="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193040"/>
                  </a:xfrm>
                  <a:prstGeom prst="rect">
                    <a:avLst/>
                  </a:prstGeom>
                  <a:noFill/>
                  <a:ln>
                    <a:noFill/>
                  </a:ln>
                </pic:spPr>
              </pic:pic>
            </a:graphicData>
          </a:graphic>
        </wp:anchor>
      </w:drawing>
    </w:r>
    <w:r>
      <w:rPr>
        <w:noProof/>
        <w:lang w:eastAsia="es-ES"/>
      </w:rPr>
      <w:drawing>
        <wp:anchor distT="0" distB="0" distL="114300" distR="114300" simplePos="0" relativeHeight="251661312" behindDoc="0" locked="0" layoutInCell="1" allowOverlap="1">
          <wp:simplePos x="0" y="0"/>
          <wp:positionH relativeFrom="column">
            <wp:posOffset>3634740</wp:posOffset>
          </wp:positionH>
          <wp:positionV relativeFrom="paragraph">
            <wp:posOffset>-139700</wp:posOffset>
          </wp:positionV>
          <wp:extent cx="1118870" cy="243205"/>
          <wp:effectExtent l="0" t="0" r="5080" b="4445"/>
          <wp:wrapSquare wrapText="bothSides"/>
          <wp:docPr id="16" name="Imagen 16" descr="http://www.anged.es/archivos/contenidos/logo_anged_2013_10_22_09_58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ged.es/archivos/contenidos/logo_anged_2013_10_22_09_58_37.jpg"/>
                  <pic:cNvPicPr>
                    <a:picLocks noChangeAspect="1" noChangeArrowheads="1"/>
                  </pic:cNvPicPr>
                </pic:nvPicPr>
                <pic:blipFill>
                  <a:blip r:embed="rId7" r:link="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7365"/>
                  <a:stretch>
                    <a:fillRect/>
                  </a:stretch>
                </pic:blipFill>
                <pic:spPr bwMode="auto">
                  <a:xfrm>
                    <a:off x="0" y="0"/>
                    <a:ext cx="1118870" cy="243205"/>
                  </a:xfrm>
                  <a:prstGeom prst="rect">
                    <a:avLst/>
                  </a:prstGeom>
                  <a:noFill/>
                  <a:ln>
                    <a:noFill/>
                  </a:ln>
                </pic:spPr>
              </pic:pic>
            </a:graphicData>
          </a:graphic>
        </wp:anchor>
      </w:drawing>
    </w:r>
    <w:r>
      <w:rPr>
        <w:noProof/>
        <w:lang w:eastAsia="es-ES"/>
      </w:rPr>
      <w:drawing>
        <wp:anchor distT="0" distB="0" distL="114300" distR="114300" simplePos="0" relativeHeight="251663360" behindDoc="0" locked="0" layoutInCell="1" allowOverlap="1">
          <wp:simplePos x="0" y="0"/>
          <wp:positionH relativeFrom="column">
            <wp:posOffset>4864735</wp:posOffset>
          </wp:positionH>
          <wp:positionV relativeFrom="paragraph">
            <wp:posOffset>-311785</wp:posOffset>
          </wp:positionV>
          <wp:extent cx="1219200" cy="497205"/>
          <wp:effectExtent l="0" t="0" r="0" b="0"/>
          <wp:wrapSquare wrapText="bothSides"/>
          <wp:docPr id="18" name="Imagen 18" descr="asedas DEFINITIV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sedas DEFINITIVO 201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649" b="27283"/>
                  <a:stretch>
                    <a:fillRect/>
                  </a:stretch>
                </pic:blipFill>
                <pic:spPr bwMode="auto">
                  <a:xfrm>
                    <a:off x="0" y="0"/>
                    <a:ext cx="1219200" cy="497205"/>
                  </a:xfrm>
                  <a:prstGeom prst="rect">
                    <a:avLst/>
                  </a:prstGeom>
                  <a:noFill/>
                  <a:ln>
                    <a:noFill/>
                  </a:ln>
                </pic:spPr>
              </pic:pic>
            </a:graphicData>
          </a:graphic>
        </wp:anchor>
      </w:drawing>
    </w:r>
    <w:r>
      <w:rPr>
        <w:noProof/>
        <w:lang w:eastAsia="es-ES"/>
      </w:rPr>
      <w:drawing>
        <wp:anchor distT="0" distB="0" distL="114300" distR="114300" simplePos="0" relativeHeight="251664384" behindDoc="0" locked="0" layoutInCell="1" allowOverlap="1">
          <wp:simplePos x="0" y="0"/>
          <wp:positionH relativeFrom="column">
            <wp:posOffset>4362450</wp:posOffset>
          </wp:positionH>
          <wp:positionV relativeFrom="paragraph">
            <wp:posOffset>154940</wp:posOffset>
          </wp:positionV>
          <wp:extent cx="993775" cy="497205"/>
          <wp:effectExtent l="0" t="0" r="0" b="0"/>
          <wp:wrapSquare wrapText="bothSides"/>
          <wp:docPr id="19" name="Imagen 19" descr="C:\Users\IYARZA\Pictures\Logo-web-FIT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IYARZA\Pictures\Logo-web-FITAG1.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3775" cy="497205"/>
                  </a:xfrm>
                  <a:prstGeom prst="rect">
                    <a:avLst/>
                  </a:prstGeom>
                  <a:noFill/>
                  <a:ln>
                    <a:noFill/>
                  </a:ln>
                </pic:spPr>
              </pic:pic>
            </a:graphicData>
          </a:graphic>
        </wp:anchor>
      </w:drawing>
    </w:r>
    <w:r>
      <w:rPr>
        <w:noProof/>
        <w:lang w:eastAsia="es-ES"/>
      </w:rPr>
      <w:drawing>
        <wp:anchor distT="0" distB="0" distL="114300" distR="114300" simplePos="0" relativeHeight="251662336" behindDoc="0" locked="0" layoutInCell="1" allowOverlap="1">
          <wp:simplePos x="0" y="0"/>
          <wp:positionH relativeFrom="column">
            <wp:posOffset>-240030</wp:posOffset>
          </wp:positionH>
          <wp:positionV relativeFrom="paragraph">
            <wp:posOffset>222885</wp:posOffset>
          </wp:positionV>
          <wp:extent cx="829310" cy="363855"/>
          <wp:effectExtent l="0" t="0" r="8890" b="0"/>
          <wp:wrapSquare wrapText="bothSides"/>
          <wp:docPr id="17" name="Imagen 17" descr="http://www.ceoe.es/resources/image/s_Asociacion_de_Cadenas_Espanolas_de_Supermercados_%28ACE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eoe.es/resources/image/s_Asociacion_de_Cadenas_Espanolas_de_Supermercados_%28ACES%29.jpg"/>
                  <pic:cNvPicPr>
                    <a:picLocks noChangeAspect="1" noChangeArrowheads="1"/>
                  </pic:cNvPicPr>
                </pic:nvPicPr>
                <pic:blipFill>
                  <a:blip r:embed="rId11" r:link="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239" b="20555"/>
                  <a:stretch>
                    <a:fillRect/>
                  </a:stretch>
                </pic:blipFill>
                <pic:spPr bwMode="auto">
                  <a:xfrm>
                    <a:off x="0" y="0"/>
                    <a:ext cx="829310" cy="363855"/>
                  </a:xfrm>
                  <a:prstGeom prst="rect">
                    <a:avLst/>
                  </a:prstGeom>
                  <a:noFill/>
                  <a:ln>
                    <a:noFill/>
                  </a:ln>
                </pic:spPr>
              </pic:pic>
            </a:graphicData>
          </a:graphic>
        </wp:anchor>
      </w:drawing>
    </w:r>
    <w:r>
      <w:rPr>
        <w:noProof/>
        <w:lang w:eastAsia="es-ES"/>
      </w:rPr>
      <w:drawing>
        <wp:anchor distT="0" distB="0" distL="114300" distR="114300" simplePos="0" relativeHeight="251666432" behindDoc="0" locked="0" layoutInCell="1" allowOverlap="1">
          <wp:simplePos x="0" y="0"/>
          <wp:positionH relativeFrom="column">
            <wp:posOffset>683260</wp:posOffset>
          </wp:positionH>
          <wp:positionV relativeFrom="paragraph">
            <wp:posOffset>196850</wp:posOffset>
          </wp:positionV>
          <wp:extent cx="962025" cy="407035"/>
          <wp:effectExtent l="0" t="0" r="9525" b="0"/>
          <wp:wrapSquare wrapText="bothSides"/>
          <wp:docPr id="21" name="Imagen 21" descr="http://www.academiaciencias.com/images/C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cademiaciencias.com/images/CEC.jpg"/>
                  <pic:cNvPicPr>
                    <a:picLocks noChangeAspect="1" noChangeArrowheads="1"/>
                  </pic:cNvPicPr>
                </pic:nvPicPr>
                <pic:blipFill>
                  <a:blip r:embed="rId13" r:link="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407035"/>
                  </a:xfrm>
                  <a:prstGeom prst="rect">
                    <a:avLst/>
                  </a:prstGeom>
                  <a:noFill/>
                  <a:ln>
                    <a:noFill/>
                  </a:ln>
                </pic:spPr>
              </pic:pic>
            </a:graphicData>
          </a:graphic>
        </wp:anchor>
      </w:drawing>
    </w:r>
    <w:r>
      <w:rPr>
        <w:noProof/>
        <w:lang w:eastAsia="es-ES"/>
      </w:rPr>
      <w:drawing>
        <wp:anchor distT="0" distB="0" distL="114300" distR="114300" simplePos="0" relativeHeight="251667456" behindDoc="0" locked="0" layoutInCell="1" allowOverlap="1">
          <wp:simplePos x="0" y="0"/>
          <wp:positionH relativeFrom="column">
            <wp:posOffset>1819275</wp:posOffset>
          </wp:positionH>
          <wp:positionV relativeFrom="paragraph">
            <wp:posOffset>224790</wp:posOffset>
          </wp:positionV>
          <wp:extent cx="972820" cy="344170"/>
          <wp:effectExtent l="0" t="0" r="0" b="0"/>
          <wp:wrapSquare wrapText="bothSides"/>
          <wp:docPr id="22" name="Imagen 22" descr="http://www.abascalcomunicacion.com/wp-content/uploads/2013/07/logo-FE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bascalcomunicacion.com/wp-content/uploads/2013/07/logo-FEHR.jpg"/>
                  <pic:cNvPicPr>
                    <a:picLocks noChangeAspect="1" noChangeArrowheads="1"/>
                  </pic:cNvPicPr>
                </pic:nvPicPr>
                <pic:blipFill>
                  <a:blip r:embed="rId15" r:link="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2820" cy="344170"/>
                  </a:xfrm>
                  <a:prstGeom prst="rect">
                    <a:avLst/>
                  </a:prstGeom>
                  <a:noFill/>
                  <a:ln>
                    <a:noFill/>
                  </a:ln>
                </pic:spPr>
              </pic:pic>
            </a:graphicData>
          </a:graphic>
        </wp:anchor>
      </w:drawing>
    </w:r>
    <w:r>
      <w:rPr>
        <w:noProof/>
        <w:lang w:eastAsia="es-ES"/>
      </w:rPr>
      <w:drawing>
        <wp:anchor distT="0" distB="0" distL="114300" distR="114300" simplePos="0" relativeHeight="251668480" behindDoc="0" locked="0" layoutInCell="1" allowOverlap="1">
          <wp:simplePos x="0" y="0"/>
          <wp:positionH relativeFrom="column">
            <wp:posOffset>2986405</wp:posOffset>
          </wp:positionH>
          <wp:positionV relativeFrom="paragraph">
            <wp:posOffset>186690</wp:posOffset>
          </wp:positionV>
          <wp:extent cx="1245870" cy="417195"/>
          <wp:effectExtent l="0" t="0" r="0" b="1905"/>
          <wp:wrapSquare wrapText="bothSides"/>
          <wp:docPr id="23" name="Imagen 23" descr="http://www.restaurantrends.com/documentos/2012/11/logo-fehrcar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staurantrends.com/documentos/2012/11/logo-fehrcarem1.jpg"/>
                  <pic:cNvPicPr>
                    <a:picLocks noChangeAspect="1" noChangeArrowheads="1"/>
                  </pic:cNvPicPr>
                </pic:nvPicPr>
                <pic:blipFill>
                  <a:blip r:embed="rId17" r:link="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5870" cy="417195"/>
                  </a:xfrm>
                  <a:prstGeom prst="rect">
                    <a:avLst/>
                  </a:prstGeom>
                  <a:noFill/>
                  <a:ln>
                    <a:noFill/>
                  </a:ln>
                </pic:spPr>
              </pic:pic>
            </a:graphicData>
          </a:graphic>
        </wp:anchor>
      </w:drawing>
    </w:r>
    <w:r>
      <w:rPr>
        <w:noProof/>
        <w:lang w:eastAsia="es-ES"/>
      </w:rPr>
      <w:drawing>
        <wp:anchor distT="0" distB="0" distL="114300" distR="114300" simplePos="0" relativeHeight="251669504" behindDoc="0" locked="0" layoutInCell="1" allowOverlap="1">
          <wp:simplePos x="0" y="0"/>
          <wp:positionH relativeFrom="column">
            <wp:posOffset>634365</wp:posOffset>
          </wp:positionH>
          <wp:positionV relativeFrom="paragraph">
            <wp:posOffset>681990</wp:posOffset>
          </wp:positionV>
          <wp:extent cx="1079500" cy="360680"/>
          <wp:effectExtent l="0" t="0" r="6350" b="1270"/>
          <wp:wrapSquare wrapText="bothSides"/>
          <wp:docPr id="1" name="Imagen 1" descr="http://foodsafetycheese.com/wp-content/uploads/2011/07/comisiones-obr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oodsafetycheese.com/wp-content/uploads/2011/07/comisiones-obreras.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9500" cy="360680"/>
                  </a:xfrm>
                  <a:prstGeom prst="rect">
                    <a:avLst/>
                  </a:prstGeom>
                  <a:noFill/>
                  <a:ln>
                    <a:noFill/>
                  </a:ln>
                </pic:spPr>
              </pic:pic>
            </a:graphicData>
          </a:graphic>
        </wp:anchor>
      </w:drawing>
    </w:r>
    <w:r>
      <w:rPr>
        <w:noProof/>
        <w:lang w:eastAsia="es-ES"/>
      </w:rPr>
      <w:drawing>
        <wp:anchor distT="0" distB="0" distL="114300" distR="114300" simplePos="0" relativeHeight="251670528" behindDoc="0" locked="0" layoutInCell="1" allowOverlap="1">
          <wp:simplePos x="0" y="0"/>
          <wp:positionH relativeFrom="column">
            <wp:posOffset>1999615</wp:posOffset>
          </wp:positionH>
          <wp:positionV relativeFrom="paragraph">
            <wp:posOffset>584200</wp:posOffset>
          </wp:positionV>
          <wp:extent cx="717550" cy="574040"/>
          <wp:effectExtent l="0" t="0" r="6350" b="0"/>
          <wp:wrapSquare wrapText="bothSides"/>
          <wp:docPr id="2" name="Imagen 2" descr="http://www.lareferencia.net/wp-content/uploads/2013/02/co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referencia.net/wp-content/uploads/2013/02/coag.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7550" cy="574040"/>
                  </a:xfrm>
                  <a:prstGeom prst="rect">
                    <a:avLst/>
                  </a:prstGeom>
                  <a:noFill/>
                  <a:ln>
                    <a:noFill/>
                  </a:ln>
                </pic:spPr>
              </pic:pic>
            </a:graphicData>
          </a:graphic>
        </wp:anchor>
      </w:drawing>
    </w:r>
    <w:r>
      <w:rPr>
        <w:noProof/>
        <w:lang w:eastAsia="es-ES"/>
      </w:rPr>
      <w:drawing>
        <wp:anchor distT="0" distB="0" distL="114300" distR="114300" simplePos="0" relativeHeight="251671552" behindDoc="0" locked="0" layoutInCell="1" allowOverlap="1">
          <wp:simplePos x="0" y="0"/>
          <wp:positionH relativeFrom="column">
            <wp:posOffset>2945765</wp:posOffset>
          </wp:positionH>
          <wp:positionV relativeFrom="paragraph">
            <wp:posOffset>607060</wp:posOffset>
          </wp:positionV>
          <wp:extent cx="866775" cy="577850"/>
          <wp:effectExtent l="0" t="0" r="9525" b="0"/>
          <wp:wrapSquare wrapText="bothSides"/>
          <wp:docPr id="3" name="Imagen 3" descr="C:\Users\Ana Torres\AppData\Local\Microsoft\Windows\Temporary Internet Files\Content.Word\logo_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 Torres\AppData\Local\Microsoft\Windows\Temporary Internet Files\Content.Word\logo_UPA.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577850"/>
                  </a:xfrm>
                  <a:prstGeom prst="rect">
                    <a:avLst/>
                  </a:prstGeom>
                  <a:noFill/>
                  <a:ln>
                    <a:noFill/>
                  </a:ln>
                </pic:spPr>
              </pic:pic>
            </a:graphicData>
          </a:graphic>
        </wp:anchor>
      </w:drawing>
    </w:r>
    <w:r>
      <w:rPr>
        <w:b/>
        <w:noProof/>
        <w:lang w:eastAsia="es-ES"/>
      </w:rPr>
      <w:drawing>
        <wp:anchor distT="0" distB="0" distL="114300" distR="114300" simplePos="0" relativeHeight="251673600" behindDoc="0" locked="0" layoutInCell="1" allowOverlap="1">
          <wp:simplePos x="0" y="0"/>
          <wp:positionH relativeFrom="column">
            <wp:posOffset>4088765</wp:posOffset>
          </wp:positionH>
          <wp:positionV relativeFrom="paragraph">
            <wp:posOffset>624205</wp:posOffset>
          </wp:positionV>
          <wp:extent cx="508000" cy="508000"/>
          <wp:effectExtent l="0" t="0" r="6350" b="6350"/>
          <wp:wrapSquare wrapText="bothSides"/>
          <wp:docPr id="4" name="Imagen 4" descr="C:\Users\Ana Torres\AppData\Local\Microsoft\Windows\Temporary Internet Files\Content.Outlook\W9TOM5JY\logo-as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 Torres\AppData\Local\Microsoft\Windows\Temporary Internet Files\Content.Outlook\W9TOM5JY\logo-asaja.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000" cy="508000"/>
                  </a:xfrm>
                  <a:prstGeom prst="rect">
                    <a:avLst/>
                  </a:prstGeom>
                  <a:noFill/>
                  <a:ln>
                    <a:noFill/>
                  </a:ln>
                </pic:spPr>
              </pic:pic>
            </a:graphicData>
          </a:graphic>
        </wp:anchor>
      </w:drawing>
    </w:r>
  </w:p>
  <w:p w:rsidR="00534985" w:rsidRDefault="00534985" w:rsidP="00CA3670">
    <w:pPr>
      <w:pStyle w:val="Encabezado"/>
      <w:jc w:val="center"/>
    </w:pPr>
  </w:p>
  <w:p w:rsidR="00534985" w:rsidRDefault="00534985" w:rsidP="00CA3670">
    <w:pPr>
      <w:pStyle w:val="Encabezad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157384"/>
    <w:multiLevelType w:val="hybridMultilevel"/>
    <w:tmpl w:val="3B66401A"/>
    <w:lvl w:ilvl="0" w:tplc="A5F8C2CA">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D615ADC"/>
    <w:multiLevelType w:val="hybridMultilevel"/>
    <w:tmpl w:val="AF746894"/>
    <w:lvl w:ilvl="0" w:tplc="60B68CEA">
      <w:start w:val="1"/>
      <w:numFmt w:val="decimal"/>
      <w:lvlText w:val="%1."/>
      <w:lvlJc w:val="left"/>
      <w:pPr>
        <w:ind w:left="720" w:hanging="360"/>
      </w:pPr>
      <w:rPr>
        <w:rFonts w:hint="default"/>
        <w:strike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1D04DF9"/>
    <w:multiLevelType w:val="hybridMultilevel"/>
    <w:tmpl w:val="013CD9F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B7E15E5"/>
    <w:multiLevelType w:val="hybridMultilevel"/>
    <w:tmpl w:val="BDE812A8"/>
    <w:lvl w:ilvl="0" w:tplc="24EE06A8">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3F23EE5"/>
    <w:multiLevelType w:val="hybridMultilevel"/>
    <w:tmpl w:val="0C7C2B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F355095"/>
    <w:multiLevelType w:val="hybridMultilevel"/>
    <w:tmpl w:val="B492E2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70A07DD2"/>
    <w:multiLevelType w:val="hybridMultilevel"/>
    <w:tmpl w:val="2F1251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2"/>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16385">
      <o:colormru v:ext="edit" colors="white"/>
    </o:shapedefaults>
  </w:hdrShapeDefaults>
  <w:footnotePr>
    <w:footnote w:id="-1"/>
    <w:footnote w:id="0"/>
  </w:footnotePr>
  <w:endnotePr>
    <w:endnote w:id="-1"/>
    <w:endnote w:id="0"/>
  </w:endnotePr>
  <w:compat/>
  <w:rsids>
    <w:rsidRoot w:val="00386F93"/>
    <w:rsid w:val="00006FF8"/>
    <w:rsid w:val="00020A25"/>
    <w:rsid w:val="0005305D"/>
    <w:rsid w:val="000E11AB"/>
    <w:rsid w:val="000E4C19"/>
    <w:rsid w:val="000E6DE6"/>
    <w:rsid w:val="0011263D"/>
    <w:rsid w:val="0012667B"/>
    <w:rsid w:val="00127B02"/>
    <w:rsid w:val="0015308D"/>
    <w:rsid w:val="001609C1"/>
    <w:rsid w:val="001927F9"/>
    <w:rsid w:val="001B6262"/>
    <w:rsid w:val="002048BC"/>
    <w:rsid w:val="00245A9A"/>
    <w:rsid w:val="00256529"/>
    <w:rsid w:val="002B07CE"/>
    <w:rsid w:val="00313F29"/>
    <w:rsid w:val="0034404F"/>
    <w:rsid w:val="00345C7A"/>
    <w:rsid w:val="00383832"/>
    <w:rsid w:val="003854E7"/>
    <w:rsid w:val="00386F93"/>
    <w:rsid w:val="00406570"/>
    <w:rsid w:val="0046568A"/>
    <w:rsid w:val="004C5212"/>
    <w:rsid w:val="00534985"/>
    <w:rsid w:val="0059207D"/>
    <w:rsid w:val="005B4123"/>
    <w:rsid w:val="005D2F35"/>
    <w:rsid w:val="006F1052"/>
    <w:rsid w:val="00717228"/>
    <w:rsid w:val="007202D2"/>
    <w:rsid w:val="00744FEF"/>
    <w:rsid w:val="007D5570"/>
    <w:rsid w:val="008465F6"/>
    <w:rsid w:val="008639AE"/>
    <w:rsid w:val="00866971"/>
    <w:rsid w:val="00873F69"/>
    <w:rsid w:val="0087672D"/>
    <w:rsid w:val="008971F2"/>
    <w:rsid w:val="00903E99"/>
    <w:rsid w:val="00931C0E"/>
    <w:rsid w:val="00943A65"/>
    <w:rsid w:val="009B419D"/>
    <w:rsid w:val="009C5796"/>
    <w:rsid w:val="00AC6A8A"/>
    <w:rsid w:val="00AD25B1"/>
    <w:rsid w:val="00AD3852"/>
    <w:rsid w:val="00B0088E"/>
    <w:rsid w:val="00B429D5"/>
    <w:rsid w:val="00B773FA"/>
    <w:rsid w:val="00BD182C"/>
    <w:rsid w:val="00BD720A"/>
    <w:rsid w:val="00BF5917"/>
    <w:rsid w:val="00C375BF"/>
    <w:rsid w:val="00C52D14"/>
    <w:rsid w:val="00CA3670"/>
    <w:rsid w:val="00CB3822"/>
    <w:rsid w:val="00CB47B8"/>
    <w:rsid w:val="00D27840"/>
    <w:rsid w:val="00D41739"/>
    <w:rsid w:val="00D77CE7"/>
    <w:rsid w:val="00D92279"/>
    <w:rsid w:val="00DC4AF1"/>
    <w:rsid w:val="00DC5C99"/>
    <w:rsid w:val="00E04B3A"/>
    <w:rsid w:val="00E0615E"/>
    <w:rsid w:val="00E371CB"/>
    <w:rsid w:val="00E40B26"/>
    <w:rsid w:val="00EC4F17"/>
    <w:rsid w:val="00EF13C9"/>
    <w:rsid w:val="00F70119"/>
    <w:rsid w:val="00FE7AC6"/>
    <w:rsid w:val="00FF19F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colormru v:ext="edit" colors="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B3A"/>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202D2"/>
    <w:pPr>
      <w:ind w:left="720"/>
      <w:contextualSpacing/>
    </w:pPr>
  </w:style>
  <w:style w:type="paragraph" w:styleId="Textodeglobo">
    <w:name w:val="Balloon Text"/>
    <w:basedOn w:val="Normal"/>
    <w:link w:val="TextodegloboCar"/>
    <w:uiPriority w:val="99"/>
    <w:semiHidden/>
    <w:unhideWhenUsed/>
    <w:rsid w:val="00C52D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52D14"/>
    <w:rPr>
      <w:rFonts w:ascii="Tahoma" w:hAnsi="Tahoma" w:cs="Tahoma"/>
      <w:sz w:val="16"/>
      <w:szCs w:val="16"/>
    </w:rPr>
  </w:style>
  <w:style w:type="paragraph" w:styleId="Encabezado">
    <w:name w:val="header"/>
    <w:basedOn w:val="Normal"/>
    <w:link w:val="EncabezadoCar"/>
    <w:uiPriority w:val="99"/>
    <w:unhideWhenUsed/>
    <w:rsid w:val="00C52D1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52D14"/>
  </w:style>
  <w:style w:type="paragraph" w:styleId="Piedepgina">
    <w:name w:val="footer"/>
    <w:basedOn w:val="Normal"/>
    <w:link w:val="PiedepginaCar"/>
    <w:uiPriority w:val="99"/>
    <w:unhideWhenUsed/>
    <w:rsid w:val="00C52D1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52D14"/>
  </w:style>
  <w:style w:type="character" w:styleId="Hipervnculo">
    <w:name w:val="Hyperlink"/>
    <w:basedOn w:val="Fuentedeprrafopredeter"/>
    <w:uiPriority w:val="99"/>
    <w:unhideWhenUsed/>
    <w:rsid w:val="00C52D14"/>
    <w:rPr>
      <w:color w:val="0000FF"/>
      <w:u w:val="single"/>
    </w:rPr>
  </w:style>
  <w:style w:type="table" w:styleId="Tablaconcuadrcula">
    <w:name w:val="Table Grid"/>
    <w:basedOn w:val="Tablanormal"/>
    <w:uiPriority w:val="59"/>
    <w:rsid w:val="00C52D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link w:val="TextosinformatoCar"/>
    <w:uiPriority w:val="99"/>
    <w:unhideWhenUsed/>
    <w:rsid w:val="0034404F"/>
    <w:pPr>
      <w:spacing w:after="0" w:line="240" w:lineRule="auto"/>
    </w:pPr>
    <w:rPr>
      <w:rFonts w:cs="Consolas"/>
      <w:szCs w:val="21"/>
    </w:rPr>
  </w:style>
  <w:style w:type="character" w:customStyle="1" w:styleId="TextosinformatoCar">
    <w:name w:val="Texto sin formato Car"/>
    <w:basedOn w:val="Fuentedeprrafopredeter"/>
    <w:link w:val="Textosinformato"/>
    <w:uiPriority w:val="99"/>
    <w:rsid w:val="0034404F"/>
    <w:rPr>
      <w:rFonts w:ascii="Calibri" w:hAnsi="Calibri" w:cs="Consolas"/>
      <w:szCs w:val="21"/>
    </w:rPr>
  </w:style>
  <w:style w:type="paragraph" w:customStyle="1" w:styleId="Default">
    <w:name w:val="Default"/>
    <w:rsid w:val="0034404F"/>
    <w:pPr>
      <w:autoSpaceDE w:val="0"/>
      <w:autoSpaceDN w:val="0"/>
      <w:adjustRightInd w:val="0"/>
    </w:pPr>
    <w:rPr>
      <w:rFonts w:ascii="Arial" w:hAnsi="Arial" w:cs="Arial"/>
      <w:color w:val="000000"/>
      <w:sz w:val="24"/>
      <w:szCs w:val="24"/>
      <w:lang w:eastAsia="en-US"/>
    </w:rPr>
  </w:style>
  <w:style w:type="character" w:styleId="Refdenotaalpie">
    <w:name w:val="footnote reference"/>
    <w:basedOn w:val="Fuentedeprrafopredeter"/>
    <w:uiPriority w:val="99"/>
    <w:semiHidden/>
    <w:rsid w:val="0087672D"/>
    <w:rPr>
      <w:rFonts w:cs="Times New Roman"/>
      <w:vertAlign w:val="superscript"/>
    </w:rPr>
  </w:style>
  <w:style w:type="paragraph" w:styleId="Textocomentario">
    <w:name w:val="annotation text"/>
    <w:basedOn w:val="Normal"/>
    <w:link w:val="TextocomentarioCar"/>
    <w:semiHidden/>
    <w:rsid w:val="00931C0E"/>
    <w:rPr>
      <w:rFonts w:eastAsia="Times New Roman"/>
      <w:sz w:val="20"/>
      <w:szCs w:val="20"/>
    </w:rPr>
  </w:style>
  <w:style w:type="character" w:customStyle="1" w:styleId="TextocomentarioCar">
    <w:name w:val="Texto comentario Car"/>
    <w:basedOn w:val="Fuentedeprrafopredeter"/>
    <w:link w:val="Textocomentario"/>
    <w:semiHidden/>
    <w:rsid w:val="00931C0E"/>
    <w:rPr>
      <w:rFonts w:ascii="Calibri" w:eastAsia="Times New Roman" w:hAnsi="Calibri"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B3A"/>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202D2"/>
    <w:pPr>
      <w:ind w:left="720"/>
      <w:contextualSpacing/>
    </w:pPr>
  </w:style>
  <w:style w:type="paragraph" w:styleId="Textodeglobo">
    <w:name w:val="Balloon Text"/>
    <w:basedOn w:val="Normal"/>
    <w:link w:val="TextodegloboCar"/>
    <w:uiPriority w:val="99"/>
    <w:semiHidden/>
    <w:unhideWhenUsed/>
    <w:rsid w:val="00C52D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52D14"/>
    <w:rPr>
      <w:rFonts w:ascii="Tahoma" w:hAnsi="Tahoma" w:cs="Tahoma"/>
      <w:sz w:val="16"/>
      <w:szCs w:val="16"/>
    </w:rPr>
  </w:style>
  <w:style w:type="paragraph" w:styleId="Encabezado">
    <w:name w:val="header"/>
    <w:basedOn w:val="Normal"/>
    <w:link w:val="EncabezadoCar"/>
    <w:uiPriority w:val="99"/>
    <w:unhideWhenUsed/>
    <w:rsid w:val="00C52D1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52D14"/>
  </w:style>
  <w:style w:type="paragraph" w:styleId="Piedepgina">
    <w:name w:val="footer"/>
    <w:basedOn w:val="Normal"/>
    <w:link w:val="PiedepginaCar"/>
    <w:uiPriority w:val="99"/>
    <w:unhideWhenUsed/>
    <w:rsid w:val="00C52D1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52D14"/>
  </w:style>
  <w:style w:type="character" w:styleId="Hipervnculo">
    <w:name w:val="Hyperlink"/>
    <w:basedOn w:val="Fuentedeprrafopredeter"/>
    <w:uiPriority w:val="99"/>
    <w:unhideWhenUsed/>
    <w:rsid w:val="00C52D14"/>
    <w:rPr>
      <w:color w:val="0000FF"/>
      <w:u w:val="single"/>
    </w:rPr>
  </w:style>
  <w:style w:type="table" w:styleId="Tablaconcuadrcula">
    <w:name w:val="Table Grid"/>
    <w:basedOn w:val="Tablanormal"/>
    <w:uiPriority w:val="59"/>
    <w:rsid w:val="00C52D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link w:val="TextosinformatoCar"/>
    <w:uiPriority w:val="99"/>
    <w:unhideWhenUsed/>
    <w:rsid w:val="0034404F"/>
    <w:pPr>
      <w:spacing w:after="0" w:line="240" w:lineRule="auto"/>
    </w:pPr>
    <w:rPr>
      <w:rFonts w:cs="Consolas"/>
      <w:szCs w:val="21"/>
    </w:rPr>
  </w:style>
  <w:style w:type="character" w:customStyle="1" w:styleId="TextosinformatoCar">
    <w:name w:val="Texto sin formato Car"/>
    <w:basedOn w:val="Fuentedeprrafopredeter"/>
    <w:link w:val="Textosinformato"/>
    <w:uiPriority w:val="99"/>
    <w:rsid w:val="0034404F"/>
    <w:rPr>
      <w:rFonts w:ascii="Calibri" w:hAnsi="Calibri" w:cs="Consolas"/>
      <w:szCs w:val="21"/>
    </w:rPr>
  </w:style>
  <w:style w:type="paragraph" w:customStyle="1" w:styleId="Default">
    <w:name w:val="Default"/>
    <w:rsid w:val="0034404F"/>
    <w:pPr>
      <w:autoSpaceDE w:val="0"/>
      <w:autoSpaceDN w:val="0"/>
      <w:adjustRightInd w:val="0"/>
    </w:pPr>
    <w:rPr>
      <w:rFonts w:ascii="Arial" w:hAnsi="Arial" w:cs="Arial"/>
      <w:color w:val="000000"/>
      <w:sz w:val="24"/>
      <w:szCs w:val="24"/>
      <w:lang w:eastAsia="en-US"/>
    </w:rPr>
  </w:style>
  <w:style w:type="character" w:styleId="Refdenotaalpie">
    <w:name w:val="footnote reference"/>
    <w:basedOn w:val="Fuentedeprrafopredeter"/>
    <w:uiPriority w:val="99"/>
    <w:semiHidden/>
    <w:rsid w:val="0087672D"/>
    <w:rPr>
      <w:rFonts w:cs="Times New Roman"/>
      <w:vertAlign w:val="superscript"/>
    </w:rPr>
  </w:style>
  <w:style w:type="paragraph" w:styleId="Textocomentario">
    <w:name w:val="annotation text"/>
    <w:basedOn w:val="Normal"/>
    <w:link w:val="TextocomentarioCar"/>
    <w:semiHidden/>
    <w:rsid w:val="00931C0E"/>
    <w:rPr>
      <w:rFonts w:eastAsia="Times New Roman"/>
      <w:sz w:val="20"/>
      <w:szCs w:val="20"/>
    </w:rPr>
  </w:style>
  <w:style w:type="character" w:customStyle="1" w:styleId="TextocomentarioCar">
    <w:name w:val="Texto comentario Car"/>
    <w:basedOn w:val="Fuentedeprrafopredeter"/>
    <w:link w:val="Textocomentario"/>
    <w:semiHidden/>
    <w:rsid w:val="00931C0E"/>
    <w:rPr>
      <w:rFonts w:ascii="Calibri" w:eastAsia="Times New Roman" w:hAnsi="Calibri" w:cs="Times New Roman"/>
      <w:sz w:val="20"/>
      <w:szCs w:val="20"/>
    </w:rPr>
  </w:style>
</w:styles>
</file>

<file path=word/webSettings.xml><?xml version="1.0" encoding="utf-8"?>
<w:webSettings xmlns:r="http://schemas.openxmlformats.org/officeDocument/2006/relationships" xmlns:w="http://schemas.openxmlformats.org/wordprocessingml/2006/main">
  <w:divs>
    <w:div w:id="378363387">
      <w:bodyDiv w:val="1"/>
      <w:marLeft w:val="0"/>
      <w:marRight w:val="0"/>
      <w:marTop w:val="0"/>
      <w:marBottom w:val="0"/>
      <w:divBdr>
        <w:top w:val="none" w:sz="0" w:space="0" w:color="auto"/>
        <w:left w:val="none" w:sz="0" w:space="0" w:color="auto"/>
        <w:bottom w:val="none" w:sz="0" w:space="0" w:color="auto"/>
        <w:right w:val="none" w:sz="0" w:space="0" w:color="auto"/>
      </w:divBdr>
    </w:div>
    <w:div w:id="578558449">
      <w:bodyDiv w:val="1"/>
      <w:marLeft w:val="0"/>
      <w:marRight w:val="0"/>
      <w:marTop w:val="0"/>
      <w:marBottom w:val="0"/>
      <w:divBdr>
        <w:top w:val="none" w:sz="0" w:space="0" w:color="auto"/>
        <w:left w:val="none" w:sz="0" w:space="0" w:color="auto"/>
        <w:bottom w:val="none" w:sz="0" w:space="0" w:color="auto"/>
        <w:right w:val="none" w:sz="0" w:space="0" w:color="auto"/>
      </w:divBdr>
    </w:div>
    <w:div w:id="151926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http://www.anged.es/archivos/contenidos/logo_anged_2013_10_22_09_58_37.jpg" TargetMode="External"/><Relationship Id="rId13" Type="http://schemas.openxmlformats.org/officeDocument/2006/relationships/image" Target="media/image8.jpeg"/><Relationship Id="rId18" Type="http://schemas.openxmlformats.org/officeDocument/2006/relationships/image" Target="http://www.restaurantrends.com/documentos/2012/11/logo-fehrcarem1.jpg" TargetMode="External"/><Relationship Id="rId3" Type="http://schemas.openxmlformats.org/officeDocument/2006/relationships/image" Target="media/image2.png"/><Relationship Id="rId21" Type="http://schemas.openxmlformats.org/officeDocument/2006/relationships/image" Target="media/image13.jpeg"/><Relationship Id="rId7" Type="http://schemas.openxmlformats.org/officeDocument/2006/relationships/image" Target="media/image4.jpeg"/><Relationship Id="rId12" Type="http://schemas.openxmlformats.org/officeDocument/2006/relationships/image" Target="http://www.ceoe.es/resources/image/s_Asociacion_de_Cadenas_Espanolas_de_Supermercados_%28ACES%29.jpg" TargetMode="External"/><Relationship Id="rId17" Type="http://schemas.openxmlformats.org/officeDocument/2006/relationships/image" Target="media/image10.jpeg"/><Relationship Id="rId2" Type="http://schemas.openxmlformats.org/officeDocument/2006/relationships/image" Target="http://www.agaca.coop/docs/ESPA%C3%91A%20-%20Logo%20Cooperativas%20Agro-alimentarias.jpg" TargetMode="External"/><Relationship Id="rId16" Type="http://schemas.openxmlformats.org/officeDocument/2006/relationships/image" Target="http://www.abascalcomunicacion.com/wp-content/uploads/2013/07/logo-FEHR.jpg" TargetMode="External"/><Relationship Id="rId20" Type="http://schemas.openxmlformats.org/officeDocument/2006/relationships/image" Target="media/image12.jpeg"/><Relationship Id="rId1" Type="http://schemas.openxmlformats.org/officeDocument/2006/relationships/image" Target="media/image1.jpeg"/><Relationship Id="rId6" Type="http://schemas.openxmlformats.org/officeDocument/2006/relationships/image" Target="http://marketinghuman.files.wordpress.com/2011/06/aecoc_logo.jpg" TargetMode="External"/><Relationship Id="rId11" Type="http://schemas.openxmlformats.org/officeDocument/2006/relationships/image" Target="media/image7.jpeg"/><Relationship Id="rId5" Type="http://schemas.openxmlformats.org/officeDocument/2006/relationships/image" Target="media/image3.jpeg"/><Relationship Id="rId15" Type="http://schemas.openxmlformats.org/officeDocument/2006/relationships/image" Target="media/image9.jpeg"/><Relationship Id="rId10" Type="http://schemas.openxmlformats.org/officeDocument/2006/relationships/image" Target="media/image6.jpeg"/><Relationship Id="rId19" Type="http://schemas.openxmlformats.org/officeDocument/2006/relationships/image" Target="media/image11.jpeg"/><Relationship Id="rId4" Type="http://schemas.openxmlformats.org/officeDocument/2006/relationships/image" Target="http://fiab.es/ferias/images/logo_fiab.png" TargetMode="External"/><Relationship Id="rId9" Type="http://schemas.openxmlformats.org/officeDocument/2006/relationships/image" Target="media/image5.jpeg"/><Relationship Id="rId14" Type="http://schemas.openxmlformats.org/officeDocument/2006/relationships/image" Target="http://www.academiaciencias.com/images/CEC.jpg" TargetMode="External"/><Relationship Id="rId22"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474F726-2C94-475A-AAFB-B054BCAAE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908</Words>
  <Characters>4998</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 Sesé</dc:creator>
  <cp:lastModifiedBy>lerchundi</cp:lastModifiedBy>
  <cp:revision>2</cp:revision>
  <cp:lastPrinted>2014-02-26T13:56:00Z</cp:lastPrinted>
  <dcterms:created xsi:type="dcterms:W3CDTF">2014-03-05T13:45:00Z</dcterms:created>
  <dcterms:modified xsi:type="dcterms:W3CDTF">2014-03-05T13:45:00Z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1150298289</vt:i4>
  </property>
  <property fmtid="{D5CDD505-2E9C-101B-9397-08002B2CF9AE}" pid="3" name="_NewReviewCycle">
    <vt:lpwstr/>
  </property>
  <property fmtid="{D5CDD505-2E9C-101B-9397-08002B2CF9AE}" pid="4" name="_EmailSubject">
    <vt:lpwstr>Nota de prensa conjunta </vt:lpwstr>
  </property>
  <property fmtid="{D5CDD505-2E9C-101B-9397-08002B2CF9AE}" pid="5" name="_AuthorEmail">
    <vt:lpwstr>Lerchundi@agro-alimentarias.coop</vt:lpwstr>
  </property>
  <property fmtid="{D5CDD505-2E9C-101B-9397-08002B2CF9AE}" pid="6" name="_AuthorEmailDisplayName">
    <vt:lpwstr>Nerea Lerchundi</vt:lpwstr>
  </property>
</Properties>
</file>